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AB0" w:rsidRPr="00BF0E9D" w:rsidRDefault="007E7AB0" w:rsidP="00B91F1C">
      <w:pPr>
        <w:tabs>
          <w:tab w:val="left" w:pos="4140"/>
          <w:tab w:val="left" w:pos="5580"/>
        </w:tabs>
        <w:autoSpaceDE w:val="0"/>
        <w:autoSpaceDN w:val="0"/>
        <w:adjustRightInd w:val="0"/>
        <w:spacing w:line="360" w:lineRule="auto"/>
        <w:ind w:left="-90"/>
        <w:jc w:val="center"/>
        <w:rPr>
          <w:rFonts w:ascii="Cambria" w:hAnsi="Cambria" w:cs="Arial"/>
          <w:b/>
          <w:sz w:val="22"/>
          <w:szCs w:val="22"/>
        </w:rPr>
      </w:pPr>
    </w:p>
    <w:p w:rsidR="00D078B7" w:rsidRPr="00BF0E9D" w:rsidRDefault="00D078B7" w:rsidP="00D078B7">
      <w:pPr>
        <w:tabs>
          <w:tab w:val="left" w:pos="5580"/>
        </w:tabs>
        <w:autoSpaceDE w:val="0"/>
        <w:autoSpaceDN w:val="0"/>
        <w:adjustRightInd w:val="0"/>
        <w:spacing w:line="360" w:lineRule="auto"/>
        <w:ind w:left="-90"/>
        <w:jc w:val="center"/>
        <w:rPr>
          <w:rFonts w:ascii="Cambria" w:hAnsi="Cambria" w:cs="Arial"/>
          <w:b/>
        </w:rPr>
      </w:pPr>
      <w:r w:rsidRPr="00BF0E9D">
        <w:rPr>
          <w:rFonts w:ascii="Cambria" w:hAnsi="Cambria" w:cs="Arial"/>
          <w:b/>
        </w:rPr>
        <w:t>BEFORE THE ODISHA ELECTRICITY REGULATORY COMMISSION BHUBANESWAR</w:t>
      </w:r>
    </w:p>
    <w:p w:rsidR="00D078B7" w:rsidRPr="00BF0E9D" w:rsidRDefault="00D078B7" w:rsidP="00D078B7">
      <w:pPr>
        <w:tabs>
          <w:tab w:val="left" w:pos="5580"/>
        </w:tabs>
        <w:autoSpaceDE w:val="0"/>
        <w:autoSpaceDN w:val="0"/>
        <w:adjustRightInd w:val="0"/>
        <w:spacing w:line="360" w:lineRule="auto"/>
        <w:ind w:left="-90"/>
        <w:jc w:val="both"/>
        <w:rPr>
          <w:rFonts w:ascii="Cambria" w:hAnsi="Cambria" w:cs="Arial"/>
          <w:b/>
        </w:rPr>
      </w:pPr>
    </w:p>
    <w:p w:rsidR="00D078B7" w:rsidRPr="00BF0E9D" w:rsidRDefault="00D078B7" w:rsidP="00D078B7">
      <w:pPr>
        <w:tabs>
          <w:tab w:val="left" w:pos="5580"/>
        </w:tabs>
        <w:autoSpaceDE w:val="0"/>
        <w:autoSpaceDN w:val="0"/>
        <w:adjustRightInd w:val="0"/>
        <w:spacing w:line="360" w:lineRule="auto"/>
        <w:ind w:left="-90"/>
        <w:jc w:val="both"/>
        <w:rPr>
          <w:rFonts w:ascii="Cambria" w:hAnsi="Cambria" w:cs="Arial"/>
          <w:b/>
        </w:rPr>
      </w:pPr>
      <w:r w:rsidRPr="00BF0E9D">
        <w:rPr>
          <w:rFonts w:ascii="Cambria" w:hAnsi="Cambria" w:cs="Arial"/>
          <w:b/>
        </w:rPr>
        <w:t xml:space="preserve">IN THE MATTER OF </w:t>
      </w:r>
    </w:p>
    <w:p w:rsidR="00D078B7" w:rsidRPr="00BF0E9D" w:rsidRDefault="00D078B7" w:rsidP="00D078B7">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An Application for approval of Annual Revenue Requirement and Retail Supply Tariff for the financial year 2015-16, under Section 62 and other applicable provisions of the Electricity Act 2003 and in conformity with the provisions of  OERC (Terms and Conditions for determination of Tariff) Regulations, 2004 and OERC (Conduct of Business) Regulations 2004.</w:t>
      </w:r>
    </w:p>
    <w:p w:rsidR="009912CC" w:rsidRDefault="009912CC" w:rsidP="00D078B7">
      <w:pPr>
        <w:autoSpaceDE w:val="0"/>
        <w:autoSpaceDN w:val="0"/>
        <w:adjustRightInd w:val="0"/>
        <w:spacing w:line="360" w:lineRule="auto"/>
        <w:ind w:left="2250"/>
        <w:jc w:val="both"/>
        <w:rPr>
          <w:rFonts w:ascii="Cambria" w:hAnsi="Cambria" w:cs="Arial"/>
          <w:lang w:val="en-GB"/>
        </w:rPr>
      </w:pPr>
    </w:p>
    <w:p w:rsidR="00D078B7" w:rsidRPr="00BF0E9D" w:rsidRDefault="00D078B7" w:rsidP="00D078B7">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AND</w:t>
      </w:r>
    </w:p>
    <w:p w:rsidR="00D078B7" w:rsidRPr="00BF0E9D" w:rsidRDefault="00D078B7" w:rsidP="00D078B7">
      <w:pPr>
        <w:tabs>
          <w:tab w:val="left" w:pos="5580"/>
        </w:tabs>
        <w:autoSpaceDE w:val="0"/>
        <w:autoSpaceDN w:val="0"/>
        <w:adjustRightInd w:val="0"/>
        <w:spacing w:line="360" w:lineRule="auto"/>
        <w:ind w:left="-90"/>
        <w:jc w:val="both"/>
        <w:rPr>
          <w:rFonts w:ascii="Cambria" w:hAnsi="Cambria" w:cs="Arial"/>
        </w:rPr>
      </w:pPr>
      <w:r w:rsidRPr="00BF0E9D">
        <w:rPr>
          <w:rFonts w:ascii="Cambria" w:hAnsi="Cambria" w:cs="Arial"/>
          <w:b/>
        </w:rPr>
        <w:t xml:space="preserve">IN THE MATTER OF </w:t>
      </w:r>
    </w:p>
    <w:p w:rsidR="00D078B7" w:rsidRPr="00BF0E9D" w:rsidRDefault="00D078B7" w:rsidP="00D078B7">
      <w:pPr>
        <w:tabs>
          <w:tab w:val="left" w:pos="5580"/>
        </w:tabs>
        <w:autoSpaceDE w:val="0"/>
        <w:autoSpaceDN w:val="0"/>
        <w:adjustRightInd w:val="0"/>
        <w:spacing w:line="360" w:lineRule="auto"/>
        <w:jc w:val="both"/>
        <w:rPr>
          <w:rFonts w:ascii="Cambria" w:hAnsi="Cambria" w:cs="Arial"/>
          <w:lang w:val="en-GB"/>
        </w:rPr>
      </w:pPr>
      <w:r>
        <w:rPr>
          <w:rFonts w:ascii="Cambria" w:hAnsi="Cambria" w:cs="Arial"/>
          <w:lang w:val="en-GB"/>
        </w:rPr>
        <w:t>North Eastern</w:t>
      </w:r>
      <w:r w:rsidRPr="00BF0E9D">
        <w:rPr>
          <w:rFonts w:ascii="Cambria" w:hAnsi="Cambria" w:cs="Arial"/>
          <w:lang w:val="en-GB"/>
        </w:rPr>
        <w:t xml:space="preserve"> Electricity Supply Company of Odisha Ltd (</w:t>
      </w:r>
      <w:r>
        <w:rPr>
          <w:rFonts w:ascii="Cambria" w:hAnsi="Cambria" w:cs="Arial"/>
          <w:lang w:val="en-GB"/>
        </w:rPr>
        <w:t>N</w:t>
      </w:r>
      <w:r w:rsidRPr="00BF0E9D">
        <w:rPr>
          <w:rFonts w:ascii="Cambria" w:hAnsi="Cambria" w:cs="Arial"/>
          <w:lang w:val="en-GB"/>
        </w:rPr>
        <w:t>ESCO)</w:t>
      </w:r>
    </w:p>
    <w:p w:rsidR="00D078B7" w:rsidRPr="00BF0E9D" w:rsidRDefault="009912CC" w:rsidP="00D078B7">
      <w:pPr>
        <w:autoSpaceDE w:val="0"/>
        <w:autoSpaceDN w:val="0"/>
        <w:adjustRightInd w:val="0"/>
        <w:spacing w:line="360" w:lineRule="auto"/>
        <w:ind w:left="2160"/>
        <w:jc w:val="both"/>
        <w:rPr>
          <w:rFonts w:ascii="Cambria" w:hAnsi="Cambria" w:cs="Arial"/>
        </w:rPr>
      </w:pPr>
      <w:r>
        <w:rPr>
          <w:rFonts w:ascii="Cambria" w:hAnsi="Cambria" w:cs="Arial"/>
          <w:lang w:val="en-GB"/>
        </w:rPr>
        <w:t xml:space="preserve">Registered </w:t>
      </w:r>
      <w:r w:rsidR="00D078B7" w:rsidRPr="00BF0E9D">
        <w:rPr>
          <w:rFonts w:ascii="Cambria" w:hAnsi="Cambria" w:cs="Arial"/>
          <w:lang w:val="en-GB"/>
        </w:rPr>
        <w:t>Off</w:t>
      </w:r>
      <w:r>
        <w:rPr>
          <w:rFonts w:ascii="Cambria" w:hAnsi="Cambria" w:cs="Arial"/>
          <w:lang w:val="en-GB"/>
        </w:rPr>
        <w:t xml:space="preserve">ice </w:t>
      </w:r>
      <w:r w:rsidR="00D078B7" w:rsidRPr="00BF0E9D">
        <w:rPr>
          <w:rFonts w:ascii="Cambria" w:hAnsi="Cambria" w:cs="Arial"/>
          <w:lang w:val="en-GB"/>
        </w:rPr>
        <w:t>-PlotNo.N1/22, IRC V</w:t>
      </w:r>
      <w:r>
        <w:rPr>
          <w:rFonts w:ascii="Cambria" w:hAnsi="Cambria" w:cs="Arial"/>
          <w:lang w:val="en-GB"/>
        </w:rPr>
        <w:t>illage, Nayapalli, Bhubaneswar -</w:t>
      </w:r>
      <w:r w:rsidR="00D078B7" w:rsidRPr="00BF0E9D">
        <w:rPr>
          <w:rFonts w:ascii="Cambria" w:hAnsi="Cambria" w:cs="Arial"/>
          <w:lang w:val="en-GB"/>
        </w:rPr>
        <w:t>751 015.</w:t>
      </w:r>
    </w:p>
    <w:p w:rsidR="00D078B7" w:rsidRPr="00BF0E9D" w:rsidRDefault="00D078B7" w:rsidP="00D078B7">
      <w:pPr>
        <w:autoSpaceDE w:val="0"/>
        <w:autoSpaceDN w:val="0"/>
        <w:adjustRightInd w:val="0"/>
        <w:spacing w:line="360" w:lineRule="auto"/>
        <w:ind w:left="-90"/>
        <w:jc w:val="both"/>
        <w:rPr>
          <w:rFonts w:ascii="Cambria" w:hAnsi="Cambria" w:cs="Arial"/>
          <w:b/>
          <w:bCs/>
        </w:rPr>
      </w:pP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b/>
          <w:bCs/>
        </w:rPr>
        <w:tab/>
      </w:r>
      <w:r w:rsidRPr="00BF0E9D">
        <w:rPr>
          <w:rFonts w:ascii="Cambria" w:hAnsi="Cambria" w:cs="Arial"/>
          <w:b/>
          <w:bCs/>
        </w:rPr>
        <w:tab/>
      </w:r>
      <w:r w:rsidRPr="00BF0E9D">
        <w:rPr>
          <w:rFonts w:ascii="Cambria" w:hAnsi="Cambria" w:cs="Arial"/>
          <w:b/>
          <w:bCs/>
        </w:rPr>
        <w:tab/>
      </w:r>
      <w:r w:rsidRPr="00BF0E9D">
        <w:rPr>
          <w:rFonts w:ascii="Cambria" w:hAnsi="Cambria" w:cs="Arial"/>
          <w:b/>
          <w:bCs/>
        </w:rPr>
        <w:tab/>
        <w:t>---------Licensee</w:t>
      </w:r>
    </w:p>
    <w:p w:rsidR="00D078B7" w:rsidRPr="00BF0E9D" w:rsidRDefault="00D078B7" w:rsidP="00D078B7">
      <w:pPr>
        <w:tabs>
          <w:tab w:val="left" w:pos="5580"/>
        </w:tabs>
        <w:autoSpaceDE w:val="0"/>
        <w:autoSpaceDN w:val="0"/>
        <w:adjustRightInd w:val="0"/>
        <w:spacing w:line="360" w:lineRule="auto"/>
        <w:ind w:left="-90"/>
        <w:jc w:val="center"/>
        <w:rPr>
          <w:rFonts w:ascii="Cambria" w:hAnsi="Cambria" w:cs="Arial"/>
          <w:b/>
        </w:rPr>
      </w:pPr>
    </w:p>
    <w:p w:rsidR="00D078B7" w:rsidRPr="00BF0E9D" w:rsidRDefault="00D078B7" w:rsidP="00D078B7">
      <w:pPr>
        <w:tabs>
          <w:tab w:val="left" w:pos="5580"/>
        </w:tabs>
        <w:autoSpaceDE w:val="0"/>
        <w:autoSpaceDN w:val="0"/>
        <w:adjustRightInd w:val="0"/>
        <w:spacing w:line="360" w:lineRule="auto"/>
        <w:ind w:left="-90"/>
        <w:jc w:val="center"/>
        <w:rPr>
          <w:rFonts w:ascii="Cambria" w:hAnsi="Cambria" w:cs="Arial"/>
          <w:b/>
        </w:rPr>
      </w:pPr>
    </w:p>
    <w:p w:rsidR="00D078B7" w:rsidRPr="00BF0E9D" w:rsidRDefault="00D078B7" w:rsidP="00D078B7">
      <w:pPr>
        <w:tabs>
          <w:tab w:val="left" w:pos="5580"/>
        </w:tabs>
        <w:autoSpaceDE w:val="0"/>
        <w:autoSpaceDN w:val="0"/>
        <w:adjustRightInd w:val="0"/>
        <w:spacing w:line="360" w:lineRule="auto"/>
        <w:ind w:left="-90"/>
        <w:rPr>
          <w:rFonts w:ascii="Cambria" w:hAnsi="Cambria" w:cs="Arial"/>
          <w:b/>
        </w:rPr>
      </w:pPr>
      <w:r w:rsidRPr="00BF0E9D">
        <w:rPr>
          <w:rFonts w:ascii="Cambria" w:hAnsi="Cambria" w:cs="Arial"/>
          <w:b/>
        </w:rPr>
        <w:t>The Humble applicant above named respectfully sheweth:</w:t>
      </w:r>
    </w:p>
    <w:p w:rsidR="00D078B7" w:rsidRPr="00BF0E9D" w:rsidRDefault="00D078B7" w:rsidP="00D078B7">
      <w:pPr>
        <w:tabs>
          <w:tab w:val="left" w:pos="5580"/>
        </w:tabs>
        <w:autoSpaceDE w:val="0"/>
        <w:autoSpaceDN w:val="0"/>
        <w:adjustRightInd w:val="0"/>
        <w:spacing w:line="360" w:lineRule="auto"/>
        <w:ind w:left="-90"/>
        <w:jc w:val="center"/>
        <w:rPr>
          <w:rFonts w:ascii="Cambria" w:hAnsi="Cambria" w:cs="Arial"/>
          <w:b/>
        </w:rPr>
      </w:pPr>
    </w:p>
    <w:p w:rsidR="00D078B7" w:rsidRPr="00BF0E9D" w:rsidRDefault="00D078B7" w:rsidP="00D078B7">
      <w:pPr>
        <w:tabs>
          <w:tab w:val="left" w:pos="5580"/>
        </w:tabs>
        <w:autoSpaceDE w:val="0"/>
        <w:autoSpaceDN w:val="0"/>
        <w:adjustRightInd w:val="0"/>
        <w:spacing w:line="360" w:lineRule="auto"/>
        <w:ind w:left="-90"/>
        <w:jc w:val="center"/>
        <w:rPr>
          <w:rFonts w:ascii="Cambria" w:hAnsi="Cambria" w:cs="Arial"/>
          <w:b/>
        </w:rPr>
      </w:pPr>
    </w:p>
    <w:p w:rsidR="00D078B7" w:rsidRPr="00BF0E9D" w:rsidRDefault="00D078B7" w:rsidP="00D078B7">
      <w:pPr>
        <w:tabs>
          <w:tab w:val="left" w:pos="5580"/>
        </w:tabs>
        <w:autoSpaceDE w:val="0"/>
        <w:autoSpaceDN w:val="0"/>
        <w:adjustRightInd w:val="0"/>
        <w:spacing w:line="360" w:lineRule="auto"/>
        <w:ind w:left="-90"/>
        <w:jc w:val="center"/>
        <w:rPr>
          <w:rFonts w:ascii="Cambria" w:hAnsi="Cambria" w:cs="Arial"/>
          <w:b/>
        </w:rPr>
      </w:pPr>
    </w:p>
    <w:p w:rsidR="00D078B7" w:rsidRPr="00BF0E9D" w:rsidRDefault="00D078B7" w:rsidP="00D078B7">
      <w:pPr>
        <w:tabs>
          <w:tab w:val="left" w:pos="5580"/>
        </w:tabs>
        <w:autoSpaceDE w:val="0"/>
        <w:autoSpaceDN w:val="0"/>
        <w:adjustRightInd w:val="0"/>
        <w:spacing w:line="360" w:lineRule="auto"/>
        <w:ind w:left="-90"/>
        <w:jc w:val="right"/>
        <w:rPr>
          <w:rFonts w:ascii="Cambria" w:hAnsi="Cambria" w:cs="Arial"/>
          <w:b/>
        </w:rPr>
      </w:pPr>
      <w:r w:rsidRPr="00BF0E9D">
        <w:rPr>
          <w:rFonts w:ascii="Cambria" w:hAnsi="Cambria" w:cs="Arial"/>
          <w:b/>
        </w:rPr>
        <w:t xml:space="preserve">Managing Director, </w:t>
      </w:r>
      <w:r>
        <w:rPr>
          <w:rFonts w:ascii="Cambria" w:hAnsi="Cambria" w:cs="Arial"/>
          <w:b/>
        </w:rPr>
        <w:t>N</w:t>
      </w:r>
      <w:r w:rsidRPr="00BF0E9D">
        <w:rPr>
          <w:rFonts w:ascii="Cambria" w:hAnsi="Cambria" w:cs="Arial"/>
          <w:b/>
        </w:rPr>
        <w:t>ESCO</w:t>
      </w: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Default="007E7AB0" w:rsidP="00B91F1C">
      <w:pPr>
        <w:tabs>
          <w:tab w:val="left" w:pos="5580"/>
        </w:tabs>
        <w:autoSpaceDE w:val="0"/>
        <w:autoSpaceDN w:val="0"/>
        <w:adjustRightInd w:val="0"/>
        <w:spacing w:line="360" w:lineRule="auto"/>
        <w:ind w:left="-90"/>
        <w:jc w:val="center"/>
        <w:rPr>
          <w:rFonts w:ascii="Cambria" w:hAnsi="Cambria" w:cs="Arial"/>
          <w:b/>
        </w:rPr>
      </w:pPr>
    </w:p>
    <w:p w:rsidR="004F1964" w:rsidRDefault="004F1964" w:rsidP="00B91F1C">
      <w:pPr>
        <w:tabs>
          <w:tab w:val="left" w:pos="5580"/>
        </w:tabs>
        <w:autoSpaceDE w:val="0"/>
        <w:autoSpaceDN w:val="0"/>
        <w:adjustRightInd w:val="0"/>
        <w:spacing w:line="360" w:lineRule="auto"/>
        <w:ind w:left="-90"/>
        <w:jc w:val="center"/>
        <w:rPr>
          <w:rFonts w:ascii="Cambria" w:hAnsi="Cambria" w:cs="Arial"/>
          <w:b/>
        </w:rPr>
      </w:pPr>
    </w:p>
    <w:p w:rsidR="004F1964" w:rsidRDefault="004F1964" w:rsidP="00B91F1C">
      <w:pPr>
        <w:tabs>
          <w:tab w:val="left" w:pos="5580"/>
        </w:tabs>
        <w:autoSpaceDE w:val="0"/>
        <w:autoSpaceDN w:val="0"/>
        <w:adjustRightInd w:val="0"/>
        <w:spacing w:line="360" w:lineRule="auto"/>
        <w:ind w:left="-90"/>
        <w:jc w:val="center"/>
        <w:rPr>
          <w:rFonts w:ascii="Cambria" w:hAnsi="Cambria" w:cs="Arial"/>
          <w:b/>
        </w:rPr>
      </w:pPr>
    </w:p>
    <w:p w:rsidR="004F1964" w:rsidRPr="00BF0E9D" w:rsidRDefault="004F1964"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D078B7" w:rsidRPr="00BF0E9D" w:rsidRDefault="00D078B7" w:rsidP="00D078B7">
      <w:pPr>
        <w:tabs>
          <w:tab w:val="left" w:pos="5580"/>
        </w:tabs>
        <w:autoSpaceDE w:val="0"/>
        <w:autoSpaceDN w:val="0"/>
        <w:adjustRightInd w:val="0"/>
        <w:spacing w:line="360" w:lineRule="auto"/>
        <w:ind w:left="-86"/>
        <w:rPr>
          <w:rFonts w:ascii="Cambria" w:hAnsi="Cambria" w:cs="Arial"/>
          <w:b/>
        </w:rPr>
      </w:pPr>
      <w:r w:rsidRPr="00BF0E9D">
        <w:rPr>
          <w:rFonts w:ascii="Cambria" w:hAnsi="Cambria" w:cs="Arial"/>
          <w:b/>
        </w:rPr>
        <w:t>BEFORE THE ODISHA ELECTRICITY REGULATORY COMMISSION BHUBANESWAR</w:t>
      </w:r>
    </w:p>
    <w:p w:rsidR="00D078B7" w:rsidRPr="00BF0E9D" w:rsidRDefault="00D078B7" w:rsidP="00D078B7">
      <w:pPr>
        <w:tabs>
          <w:tab w:val="left" w:pos="5580"/>
        </w:tabs>
        <w:autoSpaceDE w:val="0"/>
        <w:autoSpaceDN w:val="0"/>
        <w:adjustRightInd w:val="0"/>
        <w:spacing w:line="360" w:lineRule="auto"/>
        <w:ind w:left="-90"/>
        <w:jc w:val="both"/>
        <w:rPr>
          <w:rFonts w:ascii="Cambria" w:hAnsi="Cambria" w:cs="Arial"/>
          <w:b/>
        </w:rPr>
      </w:pPr>
      <w:r w:rsidRPr="00BF0E9D">
        <w:rPr>
          <w:rFonts w:ascii="Cambria" w:hAnsi="Cambria" w:cs="Arial"/>
          <w:b/>
        </w:rPr>
        <w:t xml:space="preserve">IN THE MATTER OF </w:t>
      </w:r>
    </w:p>
    <w:p w:rsidR="00D078B7" w:rsidRPr="00BF0E9D" w:rsidRDefault="00D078B7" w:rsidP="00D078B7">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An Application for approval of Annual Revenue Requirement and Retail Supply Tariff for the financial year 2015-16 , under Section 62 and other applicable provisions of the Electricity Act 2003 and in conformity with the provisions of  OERC (Terms and Conditions for determination of Tariff) Regulations, 2004 and OERC (Conduct of Business) Regulations 2004.</w:t>
      </w:r>
    </w:p>
    <w:p w:rsidR="009912CC" w:rsidRDefault="009912CC" w:rsidP="00D078B7">
      <w:pPr>
        <w:autoSpaceDE w:val="0"/>
        <w:autoSpaceDN w:val="0"/>
        <w:adjustRightInd w:val="0"/>
        <w:spacing w:line="360" w:lineRule="auto"/>
        <w:ind w:left="2250"/>
        <w:jc w:val="both"/>
        <w:rPr>
          <w:rFonts w:ascii="Cambria" w:hAnsi="Cambria" w:cs="Arial"/>
          <w:lang w:val="en-GB"/>
        </w:rPr>
      </w:pPr>
    </w:p>
    <w:p w:rsidR="00D078B7" w:rsidRPr="00BF0E9D" w:rsidRDefault="00D078B7" w:rsidP="00D078B7">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AND</w:t>
      </w:r>
    </w:p>
    <w:p w:rsidR="00D078B7" w:rsidRPr="00BF0E9D" w:rsidRDefault="00D078B7" w:rsidP="00D078B7">
      <w:pPr>
        <w:tabs>
          <w:tab w:val="left" w:pos="5580"/>
        </w:tabs>
        <w:autoSpaceDE w:val="0"/>
        <w:autoSpaceDN w:val="0"/>
        <w:adjustRightInd w:val="0"/>
        <w:spacing w:line="360" w:lineRule="auto"/>
        <w:ind w:left="-90"/>
        <w:jc w:val="both"/>
        <w:rPr>
          <w:rFonts w:ascii="Cambria" w:hAnsi="Cambria" w:cs="Arial"/>
        </w:rPr>
      </w:pPr>
      <w:r w:rsidRPr="00BF0E9D">
        <w:rPr>
          <w:rFonts w:ascii="Cambria" w:hAnsi="Cambria" w:cs="Arial"/>
          <w:b/>
        </w:rPr>
        <w:t xml:space="preserve">IN THE MATTER OF </w:t>
      </w:r>
    </w:p>
    <w:p w:rsidR="00D078B7" w:rsidRPr="00BF0E9D" w:rsidRDefault="00D078B7" w:rsidP="00D078B7">
      <w:pPr>
        <w:tabs>
          <w:tab w:val="left" w:pos="5580"/>
        </w:tabs>
        <w:autoSpaceDE w:val="0"/>
        <w:autoSpaceDN w:val="0"/>
        <w:adjustRightInd w:val="0"/>
        <w:spacing w:line="360" w:lineRule="auto"/>
        <w:jc w:val="both"/>
        <w:rPr>
          <w:rFonts w:ascii="Cambria" w:hAnsi="Cambria" w:cs="Arial"/>
          <w:lang w:val="en-GB"/>
        </w:rPr>
      </w:pPr>
      <w:r>
        <w:rPr>
          <w:rFonts w:ascii="Cambria" w:hAnsi="Cambria" w:cs="Arial"/>
          <w:lang w:val="en-GB"/>
        </w:rPr>
        <w:t>North Eastern</w:t>
      </w:r>
      <w:r w:rsidRPr="00BF0E9D">
        <w:rPr>
          <w:rFonts w:ascii="Cambria" w:hAnsi="Cambria" w:cs="Arial"/>
          <w:lang w:val="en-GB"/>
        </w:rPr>
        <w:t xml:space="preserve"> Electricity Supply Company of Odisha Ltd (</w:t>
      </w:r>
      <w:r>
        <w:rPr>
          <w:rFonts w:ascii="Cambria" w:hAnsi="Cambria" w:cs="Arial"/>
          <w:lang w:val="en-GB"/>
        </w:rPr>
        <w:t>N</w:t>
      </w:r>
      <w:r w:rsidRPr="00BF0E9D">
        <w:rPr>
          <w:rFonts w:ascii="Cambria" w:hAnsi="Cambria" w:cs="Arial"/>
          <w:lang w:val="en-GB"/>
        </w:rPr>
        <w:t>ESCO)</w:t>
      </w:r>
    </w:p>
    <w:p w:rsidR="00D078B7" w:rsidRPr="00BF0E9D" w:rsidRDefault="00D078B7" w:rsidP="00D078B7">
      <w:pPr>
        <w:autoSpaceDE w:val="0"/>
        <w:autoSpaceDN w:val="0"/>
        <w:adjustRightInd w:val="0"/>
        <w:spacing w:line="360" w:lineRule="auto"/>
        <w:ind w:left="2160"/>
        <w:jc w:val="both"/>
        <w:rPr>
          <w:rFonts w:ascii="Cambria" w:hAnsi="Cambria" w:cs="Arial"/>
        </w:rPr>
      </w:pPr>
      <w:r w:rsidRPr="00BF0E9D">
        <w:rPr>
          <w:rFonts w:ascii="Cambria" w:hAnsi="Cambria" w:cs="Arial"/>
          <w:lang w:val="en-GB"/>
        </w:rPr>
        <w:t>Regd. Office-Plot No.N1/22, IRC Village, Nayapalli, Bhubaneswar-15</w:t>
      </w:r>
    </w:p>
    <w:p w:rsidR="00D078B7" w:rsidRPr="00BF0E9D" w:rsidRDefault="00D078B7" w:rsidP="00D078B7">
      <w:pPr>
        <w:autoSpaceDE w:val="0"/>
        <w:autoSpaceDN w:val="0"/>
        <w:adjustRightInd w:val="0"/>
        <w:spacing w:line="360" w:lineRule="auto"/>
        <w:ind w:left="-90"/>
        <w:jc w:val="both"/>
        <w:rPr>
          <w:rFonts w:ascii="Cambria" w:hAnsi="Cambria" w:cs="Arial"/>
          <w:b/>
          <w:bCs/>
        </w:rPr>
      </w:pP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b/>
          <w:bCs/>
        </w:rPr>
        <w:tab/>
      </w:r>
      <w:r w:rsidRPr="00BF0E9D">
        <w:rPr>
          <w:rFonts w:ascii="Cambria" w:hAnsi="Cambria" w:cs="Arial"/>
          <w:b/>
          <w:bCs/>
        </w:rPr>
        <w:tab/>
      </w:r>
      <w:r w:rsidRPr="00BF0E9D">
        <w:rPr>
          <w:rFonts w:ascii="Cambria" w:hAnsi="Cambria" w:cs="Arial"/>
          <w:b/>
          <w:bCs/>
        </w:rPr>
        <w:tab/>
      </w:r>
      <w:r w:rsidRPr="00BF0E9D">
        <w:rPr>
          <w:rFonts w:ascii="Cambria" w:hAnsi="Cambria" w:cs="Arial"/>
          <w:b/>
          <w:bCs/>
        </w:rPr>
        <w:tab/>
        <w:t>---------Licensee</w:t>
      </w:r>
    </w:p>
    <w:p w:rsidR="00D078B7" w:rsidRPr="00BF0E9D" w:rsidRDefault="00D078B7" w:rsidP="00D078B7">
      <w:pPr>
        <w:autoSpaceDE w:val="0"/>
        <w:autoSpaceDN w:val="0"/>
        <w:adjustRightInd w:val="0"/>
        <w:spacing w:line="360" w:lineRule="auto"/>
        <w:ind w:left="-86"/>
        <w:rPr>
          <w:rFonts w:ascii="Cambria" w:hAnsi="Cambria" w:cs="Arial"/>
          <w:b/>
          <w:bCs/>
        </w:rPr>
      </w:pPr>
      <w:r w:rsidRPr="00BF0E9D">
        <w:rPr>
          <w:rFonts w:ascii="Cambria" w:hAnsi="Cambria" w:cs="Arial"/>
          <w:b/>
          <w:bCs/>
        </w:rPr>
        <w:t>Affidavit verifying the application for the Annual Revenue Requirement and Tariff Application</w:t>
      </w:r>
    </w:p>
    <w:p w:rsidR="00D078B7" w:rsidRPr="00BF0E9D" w:rsidRDefault="00D078B7" w:rsidP="00D078B7">
      <w:pPr>
        <w:autoSpaceDE w:val="0"/>
        <w:autoSpaceDN w:val="0"/>
        <w:adjustRightInd w:val="0"/>
        <w:spacing w:line="360" w:lineRule="auto"/>
        <w:ind w:left="-90"/>
        <w:jc w:val="both"/>
        <w:rPr>
          <w:rFonts w:ascii="Cambria" w:hAnsi="Cambria" w:cs="Arial"/>
          <w:lang w:val="en-GB"/>
        </w:rPr>
      </w:pPr>
    </w:p>
    <w:p w:rsidR="00D078B7" w:rsidRPr="00DE3BDD" w:rsidRDefault="00D078B7" w:rsidP="00D078B7">
      <w:pPr>
        <w:autoSpaceDE w:val="0"/>
        <w:autoSpaceDN w:val="0"/>
        <w:adjustRightInd w:val="0"/>
        <w:spacing w:line="360" w:lineRule="auto"/>
        <w:ind w:left="-90"/>
        <w:jc w:val="both"/>
        <w:rPr>
          <w:rFonts w:ascii="Cambria" w:hAnsi="Cambria" w:cs="Arial"/>
          <w:lang w:val="en-GB"/>
        </w:rPr>
      </w:pPr>
      <w:r w:rsidRPr="009601B1">
        <w:rPr>
          <w:rFonts w:ascii="Cambria" w:hAnsi="Cambria" w:cs="Arial"/>
          <w:lang w:val="en-GB"/>
        </w:rPr>
        <w:t>I, Trilochan Panda, Son of Sri Dibakar Panda, aged about  5</w:t>
      </w:r>
      <w:r w:rsidR="009912CC">
        <w:rPr>
          <w:rFonts w:ascii="Cambria" w:hAnsi="Cambria" w:cs="Arial"/>
          <w:lang w:val="en-GB"/>
        </w:rPr>
        <w:t>2</w:t>
      </w:r>
      <w:r w:rsidRPr="009601B1">
        <w:rPr>
          <w:rFonts w:ascii="Cambria" w:hAnsi="Cambria" w:cs="Arial"/>
          <w:lang w:val="en-GB"/>
        </w:rPr>
        <w:t xml:space="preserve"> years, residing at, Januganj, Balasore, do hereby solemnly affirm and state as follows:-</w:t>
      </w:r>
    </w:p>
    <w:p w:rsidR="00D078B7" w:rsidRPr="00670C03" w:rsidRDefault="00D078B7" w:rsidP="00D078B7">
      <w:pPr>
        <w:autoSpaceDE w:val="0"/>
        <w:autoSpaceDN w:val="0"/>
        <w:adjustRightInd w:val="0"/>
        <w:spacing w:line="360" w:lineRule="auto"/>
        <w:ind w:left="-90"/>
        <w:jc w:val="both"/>
        <w:rPr>
          <w:rFonts w:ascii="Cambria" w:hAnsi="Cambria" w:cs="Arial"/>
          <w:sz w:val="16"/>
          <w:szCs w:val="16"/>
          <w:lang w:val="en-GB"/>
        </w:rPr>
      </w:pPr>
    </w:p>
    <w:p w:rsidR="00D078B7" w:rsidRPr="00DE3BDD" w:rsidRDefault="00D078B7" w:rsidP="00D078B7">
      <w:pPr>
        <w:autoSpaceDE w:val="0"/>
        <w:autoSpaceDN w:val="0"/>
        <w:adjustRightInd w:val="0"/>
        <w:spacing w:line="360" w:lineRule="auto"/>
        <w:ind w:left="-90"/>
        <w:jc w:val="both"/>
        <w:rPr>
          <w:rFonts w:ascii="Cambria" w:hAnsi="Cambria" w:cs="Arial"/>
          <w:lang w:val="en-GB"/>
        </w:rPr>
      </w:pPr>
      <w:r w:rsidRPr="00DE3BDD">
        <w:rPr>
          <w:rFonts w:ascii="Cambria" w:hAnsi="Cambria" w:cs="Arial"/>
          <w:lang w:val="en-GB"/>
        </w:rPr>
        <w:t xml:space="preserve">I am the Managing Director of the </w:t>
      </w:r>
      <w:r>
        <w:rPr>
          <w:rFonts w:ascii="Cambria" w:hAnsi="Cambria" w:cs="Arial"/>
          <w:lang w:val="en-GB"/>
        </w:rPr>
        <w:t>North Eastern</w:t>
      </w:r>
      <w:r w:rsidRPr="00DE3BDD">
        <w:rPr>
          <w:rFonts w:ascii="Cambria" w:hAnsi="Cambria" w:cs="Arial"/>
          <w:lang w:val="en-GB"/>
        </w:rPr>
        <w:t xml:space="preserve"> Electricity Supply Company of Odisha Limited (</w:t>
      </w:r>
      <w:r>
        <w:rPr>
          <w:rFonts w:ascii="Cambria" w:hAnsi="Cambria" w:cs="Arial"/>
          <w:lang w:val="en-GB"/>
        </w:rPr>
        <w:t>N</w:t>
      </w:r>
      <w:r w:rsidRPr="00DE3BDD">
        <w:rPr>
          <w:rFonts w:ascii="Cambria" w:hAnsi="Cambria" w:cs="Arial"/>
          <w:lang w:val="en-GB"/>
        </w:rPr>
        <w:t>ESCO), Regd. Office-Plot No.N1/22, IRC Village, Nayapp</w:t>
      </w:r>
      <w:r>
        <w:rPr>
          <w:rFonts w:ascii="Cambria" w:hAnsi="Cambria" w:cs="Arial"/>
          <w:lang w:val="en-GB"/>
        </w:rPr>
        <w:t>a</w:t>
      </w:r>
      <w:r w:rsidRPr="00DE3BDD">
        <w:rPr>
          <w:rFonts w:ascii="Cambria" w:hAnsi="Cambria" w:cs="Arial"/>
          <w:lang w:val="en-GB"/>
        </w:rPr>
        <w:t>li, Industrial Estate, Bhubaneswar-75101</w:t>
      </w:r>
      <w:r>
        <w:rPr>
          <w:rFonts w:ascii="Cambria" w:hAnsi="Cambria" w:cs="Arial"/>
          <w:lang w:val="en-GB"/>
        </w:rPr>
        <w:t>5</w:t>
      </w:r>
      <w:r w:rsidRPr="00DE3BDD">
        <w:rPr>
          <w:rFonts w:ascii="Cambria" w:hAnsi="Cambria" w:cs="Arial"/>
          <w:lang w:val="en-GB"/>
        </w:rPr>
        <w:t>.</w:t>
      </w:r>
    </w:p>
    <w:p w:rsidR="00D078B7" w:rsidRPr="00670C03" w:rsidRDefault="00D078B7" w:rsidP="00D078B7">
      <w:pPr>
        <w:autoSpaceDE w:val="0"/>
        <w:autoSpaceDN w:val="0"/>
        <w:adjustRightInd w:val="0"/>
        <w:spacing w:line="360" w:lineRule="auto"/>
        <w:ind w:left="-90"/>
        <w:jc w:val="both"/>
        <w:rPr>
          <w:rFonts w:ascii="Cambria" w:hAnsi="Cambria" w:cs="Arial"/>
          <w:sz w:val="16"/>
          <w:szCs w:val="16"/>
          <w:lang w:val="en-GB"/>
        </w:rPr>
      </w:pPr>
    </w:p>
    <w:p w:rsidR="00D078B7" w:rsidRPr="00DE3BDD" w:rsidRDefault="00D078B7" w:rsidP="00D078B7">
      <w:pPr>
        <w:autoSpaceDE w:val="0"/>
        <w:autoSpaceDN w:val="0"/>
        <w:adjustRightInd w:val="0"/>
        <w:spacing w:line="360" w:lineRule="auto"/>
        <w:ind w:left="-90"/>
        <w:jc w:val="both"/>
        <w:rPr>
          <w:rFonts w:ascii="Cambria" w:hAnsi="Cambria" w:cs="Arial"/>
          <w:lang w:val="en-GB"/>
        </w:rPr>
      </w:pPr>
      <w:r w:rsidRPr="00DE3BDD">
        <w:rPr>
          <w:rFonts w:ascii="Cambria" w:hAnsi="Cambria" w:cs="Arial"/>
          <w:lang w:val="en-GB"/>
        </w:rPr>
        <w:t>The statements made above along with the annexures annexed to this application are true to the best of my knowledge and the statements made are based on information and records and I believe them to be true.</w:t>
      </w:r>
    </w:p>
    <w:p w:rsidR="00D078B7" w:rsidRPr="00BF0E9D" w:rsidRDefault="00D078B7" w:rsidP="00D078B7">
      <w:pPr>
        <w:autoSpaceDE w:val="0"/>
        <w:autoSpaceDN w:val="0"/>
        <w:adjustRightInd w:val="0"/>
        <w:spacing w:line="360" w:lineRule="auto"/>
        <w:ind w:left="-90"/>
        <w:jc w:val="both"/>
        <w:rPr>
          <w:rFonts w:ascii="Cambria" w:hAnsi="Cambria" w:cs="Arial"/>
        </w:rPr>
      </w:pPr>
    </w:p>
    <w:p w:rsidR="00D078B7" w:rsidRPr="00BF0E9D" w:rsidRDefault="00D078B7" w:rsidP="00D078B7">
      <w:pPr>
        <w:autoSpaceDE w:val="0"/>
        <w:autoSpaceDN w:val="0"/>
        <w:adjustRightInd w:val="0"/>
        <w:spacing w:line="360" w:lineRule="auto"/>
        <w:ind w:left="-90"/>
        <w:jc w:val="both"/>
        <w:rPr>
          <w:rFonts w:ascii="Cambria" w:hAnsi="Cambria" w:cs="Arial"/>
        </w:rPr>
      </w:pPr>
    </w:p>
    <w:p w:rsidR="00D078B7" w:rsidRPr="00BF0E9D" w:rsidRDefault="00D078B7" w:rsidP="00D078B7">
      <w:pPr>
        <w:autoSpaceDE w:val="0"/>
        <w:autoSpaceDN w:val="0"/>
        <w:adjustRightInd w:val="0"/>
        <w:spacing w:line="360" w:lineRule="auto"/>
        <w:ind w:left="-90"/>
        <w:jc w:val="both"/>
        <w:rPr>
          <w:rFonts w:ascii="Cambria" w:hAnsi="Cambria" w:cs="Arial"/>
        </w:rPr>
      </w:pPr>
      <w:r w:rsidRPr="00BF0E9D">
        <w:rPr>
          <w:rFonts w:ascii="Cambria" w:hAnsi="Cambria" w:cs="Arial"/>
        </w:rPr>
        <w:t>Bhubaneswar</w:t>
      </w:r>
    </w:p>
    <w:p w:rsidR="00D078B7" w:rsidRPr="00BF0E9D" w:rsidRDefault="00D078B7" w:rsidP="00D078B7">
      <w:pPr>
        <w:autoSpaceDE w:val="0"/>
        <w:autoSpaceDN w:val="0"/>
        <w:adjustRightInd w:val="0"/>
        <w:spacing w:line="360" w:lineRule="auto"/>
        <w:ind w:left="-90"/>
        <w:jc w:val="both"/>
        <w:rPr>
          <w:rFonts w:ascii="Cambria" w:hAnsi="Cambria" w:cs="Arial"/>
          <w:b/>
        </w:rPr>
      </w:pPr>
      <w:r w:rsidRPr="00BF0E9D">
        <w:rPr>
          <w:rFonts w:ascii="Cambria" w:hAnsi="Cambria" w:cs="Arial"/>
        </w:rPr>
        <w:t>Date</w:t>
      </w:r>
      <w:r w:rsidR="00E23F3E">
        <w:rPr>
          <w:rFonts w:ascii="Cambria" w:hAnsi="Cambria" w:cs="Arial"/>
        </w:rPr>
        <w:t>d</w:t>
      </w:r>
      <w:r w:rsidR="00E332C2">
        <w:rPr>
          <w:rFonts w:ascii="Cambria" w:hAnsi="Cambria" w:cs="Arial"/>
        </w:rPr>
        <w:t>:</w:t>
      </w:r>
      <w:r w:rsidR="00E23F3E">
        <w:rPr>
          <w:rFonts w:ascii="Cambria" w:hAnsi="Cambria" w:cs="Arial"/>
        </w:rPr>
        <w:t xml:space="preserve"> 29</w:t>
      </w:r>
      <w:r w:rsidR="00E23F3E" w:rsidRPr="00E23F3E">
        <w:rPr>
          <w:rFonts w:ascii="Cambria" w:hAnsi="Cambria" w:cs="Arial"/>
          <w:vertAlign w:val="superscript"/>
        </w:rPr>
        <w:t>th</w:t>
      </w:r>
      <w:r w:rsidR="00E23F3E">
        <w:rPr>
          <w:rFonts w:ascii="Cambria" w:hAnsi="Cambria" w:cs="Arial"/>
        </w:rPr>
        <w:t xml:space="preserve"> November 2014</w:t>
      </w:r>
      <w:r w:rsidR="00E332C2">
        <w:rPr>
          <w:rFonts w:ascii="Cambria" w:hAnsi="Cambria" w:cs="Arial"/>
        </w:rPr>
        <w:t xml:space="preserve"> </w:t>
      </w:r>
      <w:r w:rsidR="00E332C2">
        <w:rPr>
          <w:rFonts w:ascii="Cambria" w:hAnsi="Cambria" w:cs="Arial"/>
        </w:rPr>
        <w:tab/>
        <w:t xml:space="preserve">             </w:t>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b/>
        </w:rPr>
        <w:t xml:space="preserve">          </w:t>
      </w:r>
      <w:r w:rsidR="00E332C2">
        <w:rPr>
          <w:rFonts w:ascii="Cambria" w:hAnsi="Cambria" w:cs="Arial"/>
          <w:b/>
        </w:rPr>
        <w:t xml:space="preserve">    </w:t>
      </w:r>
      <w:r w:rsidRPr="00BF0E9D">
        <w:rPr>
          <w:rFonts w:ascii="Cambria" w:hAnsi="Cambria" w:cs="Arial"/>
          <w:b/>
        </w:rPr>
        <w:t>DEPONENT</w:t>
      </w:r>
    </w:p>
    <w:p w:rsidR="00D078B7" w:rsidRPr="00BF0E9D" w:rsidRDefault="00D078B7" w:rsidP="00D078B7">
      <w:pPr>
        <w:autoSpaceDE w:val="0"/>
        <w:autoSpaceDN w:val="0"/>
        <w:adjustRightInd w:val="0"/>
        <w:spacing w:line="360" w:lineRule="auto"/>
        <w:ind w:left="-90"/>
        <w:jc w:val="both"/>
        <w:rPr>
          <w:rFonts w:ascii="Cambria" w:hAnsi="Cambria" w:cs="Arial"/>
          <w:b/>
        </w:rPr>
      </w:pPr>
      <w:r w:rsidRPr="00BF0E9D">
        <w:rPr>
          <w:rFonts w:ascii="Cambria" w:hAnsi="Cambria" w:cs="Arial"/>
          <w:b/>
        </w:rPr>
        <w:tab/>
      </w:r>
      <w:r w:rsidRPr="00BF0E9D">
        <w:rPr>
          <w:rFonts w:ascii="Cambria" w:hAnsi="Cambria" w:cs="Arial"/>
          <w:b/>
        </w:rPr>
        <w:tab/>
      </w:r>
      <w:r w:rsidRPr="00BF0E9D">
        <w:rPr>
          <w:rFonts w:ascii="Cambria" w:hAnsi="Cambria" w:cs="Arial"/>
          <w:b/>
        </w:rPr>
        <w:tab/>
      </w:r>
      <w:r w:rsidRPr="00BF0E9D">
        <w:rPr>
          <w:rFonts w:ascii="Cambria" w:hAnsi="Cambria" w:cs="Arial"/>
          <w:b/>
        </w:rPr>
        <w:tab/>
      </w:r>
      <w:r w:rsidRPr="00BF0E9D">
        <w:rPr>
          <w:rFonts w:ascii="Cambria" w:hAnsi="Cambria" w:cs="Arial"/>
          <w:b/>
        </w:rPr>
        <w:tab/>
      </w:r>
      <w:r w:rsidRPr="00BF0E9D">
        <w:rPr>
          <w:rFonts w:ascii="Cambria" w:hAnsi="Cambria" w:cs="Arial"/>
          <w:b/>
        </w:rPr>
        <w:tab/>
      </w:r>
      <w:r w:rsidRPr="00BF0E9D">
        <w:rPr>
          <w:rFonts w:ascii="Cambria" w:hAnsi="Cambria" w:cs="Arial"/>
          <w:b/>
        </w:rPr>
        <w:tab/>
      </w:r>
      <w:r w:rsidRPr="00BF0E9D">
        <w:rPr>
          <w:rFonts w:ascii="Cambria" w:hAnsi="Cambria" w:cs="Arial"/>
          <w:b/>
        </w:rPr>
        <w:tab/>
      </w:r>
      <w:r w:rsidRPr="00BF0E9D">
        <w:rPr>
          <w:rFonts w:ascii="Cambria" w:hAnsi="Cambria" w:cs="Arial"/>
          <w:b/>
        </w:rPr>
        <w:tab/>
        <w:t xml:space="preserve">Managing Director, </w:t>
      </w:r>
      <w:r>
        <w:rPr>
          <w:rFonts w:ascii="Cambria" w:hAnsi="Cambria" w:cs="Arial"/>
          <w:b/>
        </w:rPr>
        <w:t>N</w:t>
      </w:r>
      <w:r w:rsidRPr="00BF0E9D">
        <w:rPr>
          <w:rFonts w:ascii="Cambria" w:hAnsi="Cambria" w:cs="Arial"/>
          <w:b/>
        </w:rPr>
        <w:t>ESCO</w:t>
      </w:r>
    </w:p>
    <w:p w:rsidR="00E5394A" w:rsidRPr="00BF0E9D" w:rsidRDefault="00DE3BDD" w:rsidP="00B91F1C">
      <w:pPr>
        <w:spacing w:line="360" w:lineRule="auto"/>
        <w:jc w:val="both"/>
        <w:rPr>
          <w:rFonts w:ascii="Cambria" w:hAnsi="Cambria" w:cs="Arial"/>
          <w:b/>
        </w:rPr>
      </w:pPr>
      <w:r w:rsidRPr="00BF0E9D">
        <w:rPr>
          <w:rFonts w:ascii="Cambria" w:hAnsi="Cambria" w:cs="Arial"/>
        </w:rPr>
        <w:br w:type="page"/>
      </w:r>
      <w:r w:rsidR="009F3779" w:rsidRPr="00BF0E9D">
        <w:rPr>
          <w:rFonts w:ascii="Cambria" w:hAnsi="Cambria" w:cs="Arial"/>
        </w:rPr>
        <w:lastRenderedPageBreak/>
        <w:tab/>
      </w:r>
      <w:r w:rsidR="009F3779" w:rsidRPr="00BF0E9D">
        <w:rPr>
          <w:rFonts w:ascii="Cambria" w:hAnsi="Cambria" w:cs="Arial"/>
        </w:rPr>
        <w:tab/>
      </w:r>
      <w:r w:rsidR="009F3779" w:rsidRPr="00BF0E9D">
        <w:rPr>
          <w:rFonts w:ascii="Cambria" w:hAnsi="Cambria" w:cs="Arial"/>
        </w:rPr>
        <w:tab/>
      </w:r>
      <w:r w:rsidR="009F3779" w:rsidRPr="00BF0E9D">
        <w:rPr>
          <w:rFonts w:ascii="Cambria" w:hAnsi="Cambria" w:cs="Arial"/>
        </w:rPr>
        <w:tab/>
      </w:r>
      <w:r w:rsidR="009F3779" w:rsidRPr="00BF0E9D">
        <w:rPr>
          <w:rFonts w:ascii="Cambria" w:hAnsi="Cambria" w:cs="Arial"/>
          <w:b/>
        </w:rPr>
        <w:t>Table of Contents</w:t>
      </w:r>
    </w:p>
    <w:p w:rsidR="00C03C1B" w:rsidRDefault="00291770">
      <w:pPr>
        <w:pStyle w:val="TOC1"/>
        <w:tabs>
          <w:tab w:val="left" w:pos="480"/>
          <w:tab w:val="right" w:leader="dot" w:pos="9305"/>
        </w:tabs>
        <w:rPr>
          <w:rFonts w:asciiTheme="minorHAnsi" w:eastAsiaTheme="minorEastAsia" w:hAnsiTheme="minorHAnsi" w:cstheme="minorBidi"/>
          <w:noProof/>
          <w:sz w:val="22"/>
          <w:szCs w:val="22"/>
          <w:lang w:val="en-IN" w:eastAsia="en-IN"/>
        </w:rPr>
      </w:pPr>
      <w:r w:rsidRPr="00291770">
        <w:rPr>
          <w:rFonts w:ascii="Cambria" w:hAnsi="Cambria" w:cs="Arial"/>
          <w:color w:val="0000FF"/>
          <w:u w:val="single"/>
        </w:rPr>
        <w:fldChar w:fldCharType="begin"/>
      </w:r>
      <w:r w:rsidR="00FB208C" w:rsidRPr="00BF0E9D">
        <w:rPr>
          <w:rFonts w:ascii="Cambria" w:hAnsi="Cambria" w:cs="Arial"/>
          <w:highlight w:val="yellow"/>
        </w:rPr>
        <w:instrText xml:space="preserve"> TOC \o "1-4" \h \z \u </w:instrText>
      </w:r>
      <w:r w:rsidRPr="00291770">
        <w:rPr>
          <w:rFonts w:ascii="Cambria" w:hAnsi="Cambria" w:cs="Arial"/>
          <w:color w:val="0000FF"/>
          <w:u w:val="single"/>
        </w:rPr>
        <w:fldChar w:fldCharType="separate"/>
      </w:r>
      <w:hyperlink w:anchor="_Toc404940130" w:history="1">
        <w:r w:rsidR="00C03C1B" w:rsidRPr="005A08C7">
          <w:rPr>
            <w:rStyle w:val="Hyperlink"/>
            <w:rFonts w:ascii="Cambria" w:hAnsi="Cambria"/>
            <w:noProof/>
          </w:rPr>
          <w:t>1.</w:t>
        </w:r>
        <w:r w:rsidR="00C03C1B">
          <w:rPr>
            <w:rFonts w:asciiTheme="minorHAnsi" w:eastAsiaTheme="minorEastAsia" w:hAnsiTheme="minorHAnsi" w:cstheme="minorBidi"/>
            <w:noProof/>
            <w:sz w:val="22"/>
            <w:szCs w:val="22"/>
            <w:lang w:val="en-IN" w:eastAsia="en-IN"/>
          </w:rPr>
          <w:tab/>
        </w:r>
        <w:r w:rsidR="00C03C1B" w:rsidRPr="005A08C7">
          <w:rPr>
            <w:rStyle w:val="Hyperlink"/>
            <w:rFonts w:ascii="Cambria" w:hAnsi="Cambria"/>
            <w:noProof/>
          </w:rPr>
          <w:t>Executive Summary</w:t>
        </w:r>
        <w:r w:rsidR="00C03C1B">
          <w:rPr>
            <w:noProof/>
            <w:webHidden/>
          </w:rPr>
          <w:tab/>
        </w:r>
        <w:r>
          <w:rPr>
            <w:noProof/>
            <w:webHidden/>
          </w:rPr>
          <w:fldChar w:fldCharType="begin"/>
        </w:r>
        <w:r w:rsidR="00C03C1B">
          <w:rPr>
            <w:noProof/>
            <w:webHidden/>
          </w:rPr>
          <w:instrText xml:space="preserve"> PAGEREF _Toc404940130 \h </w:instrText>
        </w:r>
        <w:r>
          <w:rPr>
            <w:noProof/>
            <w:webHidden/>
          </w:rPr>
        </w:r>
        <w:r>
          <w:rPr>
            <w:noProof/>
            <w:webHidden/>
          </w:rPr>
          <w:fldChar w:fldCharType="separate"/>
        </w:r>
        <w:r w:rsidR="002F21B9">
          <w:rPr>
            <w:noProof/>
            <w:webHidden/>
          </w:rPr>
          <w:t>5</w:t>
        </w:r>
        <w:r>
          <w:rPr>
            <w:noProof/>
            <w:webHidden/>
          </w:rPr>
          <w:fldChar w:fldCharType="end"/>
        </w:r>
      </w:hyperlink>
    </w:p>
    <w:p w:rsidR="00C03C1B" w:rsidRDefault="00291770">
      <w:pPr>
        <w:pStyle w:val="TOC1"/>
        <w:tabs>
          <w:tab w:val="left" w:pos="480"/>
          <w:tab w:val="right" w:leader="dot" w:pos="9305"/>
        </w:tabs>
        <w:rPr>
          <w:rFonts w:asciiTheme="minorHAnsi" w:eastAsiaTheme="minorEastAsia" w:hAnsiTheme="minorHAnsi" w:cstheme="minorBidi"/>
          <w:noProof/>
          <w:sz w:val="22"/>
          <w:szCs w:val="22"/>
          <w:lang w:val="en-IN" w:eastAsia="en-IN"/>
        </w:rPr>
      </w:pPr>
      <w:hyperlink w:anchor="_Toc404940131" w:history="1">
        <w:r w:rsidR="00C03C1B" w:rsidRPr="005A08C7">
          <w:rPr>
            <w:rStyle w:val="Hyperlink"/>
            <w:noProof/>
          </w:rPr>
          <w:t>2.</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Revenue Requirement for FY 2015-16</w:t>
        </w:r>
        <w:r w:rsidR="00C03C1B">
          <w:rPr>
            <w:noProof/>
            <w:webHidden/>
          </w:rPr>
          <w:tab/>
        </w:r>
        <w:r>
          <w:rPr>
            <w:noProof/>
            <w:webHidden/>
          </w:rPr>
          <w:fldChar w:fldCharType="begin"/>
        </w:r>
        <w:r w:rsidR="00C03C1B">
          <w:rPr>
            <w:noProof/>
            <w:webHidden/>
          </w:rPr>
          <w:instrText xml:space="preserve"> PAGEREF _Toc404940131 \h </w:instrText>
        </w:r>
        <w:r>
          <w:rPr>
            <w:noProof/>
            <w:webHidden/>
          </w:rPr>
        </w:r>
        <w:r>
          <w:rPr>
            <w:noProof/>
            <w:webHidden/>
          </w:rPr>
          <w:fldChar w:fldCharType="separate"/>
        </w:r>
        <w:r w:rsidR="002F21B9">
          <w:rPr>
            <w:noProof/>
            <w:webHidden/>
          </w:rPr>
          <w:t>9</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32" w:history="1">
        <w:r w:rsidR="00C03C1B" w:rsidRPr="005A08C7">
          <w:rPr>
            <w:rStyle w:val="Hyperlink"/>
            <w:noProof/>
          </w:rPr>
          <w:t>2.1.</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Data Sources</w:t>
        </w:r>
        <w:r w:rsidR="00C03C1B">
          <w:rPr>
            <w:noProof/>
            <w:webHidden/>
          </w:rPr>
          <w:tab/>
        </w:r>
        <w:r>
          <w:rPr>
            <w:noProof/>
            <w:webHidden/>
          </w:rPr>
          <w:fldChar w:fldCharType="begin"/>
        </w:r>
        <w:r w:rsidR="00C03C1B">
          <w:rPr>
            <w:noProof/>
            <w:webHidden/>
          </w:rPr>
          <w:instrText xml:space="preserve"> PAGEREF _Toc404940132 \h </w:instrText>
        </w:r>
        <w:r>
          <w:rPr>
            <w:noProof/>
            <w:webHidden/>
          </w:rPr>
        </w:r>
        <w:r>
          <w:rPr>
            <w:noProof/>
            <w:webHidden/>
          </w:rPr>
          <w:fldChar w:fldCharType="separate"/>
        </w:r>
        <w:r w:rsidR="002F21B9">
          <w:rPr>
            <w:noProof/>
            <w:webHidden/>
          </w:rPr>
          <w:t>9</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33" w:history="1">
        <w:r w:rsidR="00C03C1B" w:rsidRPr="005A08C7">
          <w:rPr>
            <w:rStyle w:val="Hyperlink"/>
            <w:noProof/>
          </w:rPr>
          <w:t>2.2.</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Sales Forecast</w:t>
        </w:r>
        <w:r w:rsidR="00C03C1B">
          <w:rPr>
            <w:noProof/>
            <w:webHidden/>
          </w:rPr>
          <w:tab/>
        </w:r>
        <w:r>
          <w:rPr>
            <w:noProof/>
            <w:webHidden/>
          </w:rPr>
          <w:fldChar w:fldCharType="begin"/>
        </w:r>
        <w:r w:rsidR="00C03C1B">
          <w:rPr>
            <w:noProof/>
            <w:webHidden/>
          </w:rPr>
          <w:instrText xml:space="preserve"> PAGEREF _Toc404940133 \h </w:instrText>
        </w:r>
        <w:r>
          <w:rPr>
            <w:noProof/>
            <w:webHidden/>
          </w:rPr>
        </w:r>
        <w:r>
          <w:rPr>
            <w:noProof/>
            <w:webHidden/>
          </w:rPr>
          <w:fldChar w:fldCharType="separate"/>
        </w:r>
        <w:r w:rsidR="002F21B9">
          <w:rPr>
            <w:noProof/>
            <w:webHidden/>
          </w:rPr>
          <w:t>10</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35" w:history="1">
        <w:r w:rsidR="00C03C1B" w:rsidRPr="005A08C7">
          <w:rPr>
            <w:rStyle w:val="Hyperlink"/>
            <w:noProof/>
          </w:rPr>
          <w:t>2.3.</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Power Purchase Expenses</w:t>
        </w:r>
        <w:r w:rsidR="00C03C1B">
          <w:rPr>
            <w:noProof/>
            <w:webHidden/>
          </w:rPr>
          <w:tab/>
        </w:r>
        <w:r>
          <w:rPr>
            <w:noProof/>
            <w:webHidden/>
          </w:rPr>
          <w:fldChar w:fldCharType="begin"/>
        </w:r>
        <w:r w:rsidR="00C03C1B">
          <w:rPr>
            <w:noProof/>
            <w:webHidden/>
          </w:rPr>
          <w:instrText xml:space="preserve"> PAGEREF _Toc404940135 \h </w:instrText>
        </w:r>
        <w:r>
          <w:rPr>
            <w:noProof/>
            <w:webHidden/>
          </w:rPr>
        </w:r>
        <w:r>
          <w:rPr>
            <w:noProof/>
            <w:webHidden/>
          </w:rPr>
          <w:fldChar w:fldCharType="separate"/>
        </w:r>
        <w:r w:rsidR="002F21B9">
          <w:rPr>
            <w:noProof/>
            <w:webHidden/>
          </w:rPr>
          <w:t>12</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36" w:history="1">
        <w:r w:rsidR="00C03C1B" w:rsidRPr="005A08C7">
          <w:rPr>
            <w:rStyle w:val="Hyperlink"/>
            <w:noProof/>
          </w:rPr>
          <w:t>2.4.</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Employees Expenses</w:t>
        </w:r>
        <w:r w:rsidR="00C03C1B">
          <w:rPr>
            <w:noProof/>
            <w:webHidden/>
          </w:rPr>
          <w:tab/>
        </w:r>
        <w:r>
          <w:rPr>
            <w:noProof/>
            <w:webHidden/>
          </w:rPr>
          <w:fldChar w:fldCharType="begin"/>
        </w:r>
        <w:r w:rsidR="00C03C1B">
          <w:rPr>
            <w:noProof/>
            <w:webHidden/>
          </w:rPr>
          <w:instrText xml:space="preserve"> PAGEREF _Toc404940136 \h </w:instrText>
        </w:r>
        <w:r>
          <w:rPr>
            <w:noProof/>
            <w:webHidden/>
          </w:rPr>
        </w:r>
        <w:r>
          <w:rPr>
            <w:noProof/>
            <w:webHidden/>
          </w:rPr>
          <w:fldChar w:fldCharType="separate"/>
        </w:r>
        <w:r w:rsidR="002F21B9">
          <w:rPr>
            <w:noProof/>
            <w:webHidden/>
          </w:rPr>
          <w:t>13</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37" w:history="1">
        <w:r w:rsidR="00C03C1B" w:rsidRPr="005A08C7">
          <w:rPr>
            <w:rStyle w:val="Hyperlink"/>
            <w:noProof/>
          </w:rPr>
          <w:t>2.5.</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Administrative and General Expenses</w:t>
        </w:r>
        <w:r w:rsidR="00C03C1B">
          <w:rPr>
            <w:noProof/>
            <w:webHidden/>
          </w:rPr>
          <w:tab/>
        </w:r>
        <w:r>
          <w:rPr>
            <w:noProof/>
            <w:webHidden/>
          </w:rPr>
          <w:fldChar w:fldCharType="begin"/>
        </w:r>
        <w:r w:rsidR="00C03C1B">
          <w:rPr>
            <w:noProof/>
            <w:webHidden/>
          </w:rPr>
          <w:instrText xml:space="preserve"> PAGEREF _Toc404940137 \h </w:instrText>
        </w:r>
        <w:r>
          <w:rPr>
            <w:noProof/>
            <w:webHidden/>
          </w:rPr>
        </w:r>
        <w:r>
          <w:rPr>
            <w:noProof/>
            <w:webHidden/>
          </w:rPr>
          <w:fldChar w:fldCharType="separate"/>
        </w:r>
        <w:r w:rsidR="002F21B9">
          <w:rPr>
            <w:noProof/>
            <w:webHidden/>
          </w:rPr>
          <w:t>17</w:t>
        </w:r>
        <w:r>
          <w:rPr>
            <w:noProof/>
            <w:webHidden/>
          </w:rPr>
          <w:fldChar w:fldCharType="end"/>
        </w:r>
      </w:hyperlink>
    </w:p>
    <w:p w:rsidR="00C03C1B" w:rsidRDefault="00291770">
      <w:pPr>
        <w:pStyle w:val="TOC1"/>
        <w:tabs>
          <w:tab w:val="left" w:pos="880"/>
          <w:tab w:val="right" w:leader="dot" w:pos="9305"/>
        </w:tabs>
        <w:rPr>
          <w:rFonts w:asciiTheme="minorHAnsi" w:eastAsiaTheme="minorEastAsia" w:hAnsiTheme="minorHAnsi" w:cstheme="minorBidi"/>
          <w:noProof/>
          <w:sz w:val="22"/>
          <w:szCs w:val="22"/>
          <w:lang w:val="en-IN" w:eastAsia="en-IN"/>
        </w:rPr>
      </w:pPr>
      <w:hyperlink w:anchor="_Toc404940138" w:history="1">
        <w:r w:rsidR="00C03C1B" w:rsidRPr="005A08C7">
          <w:rPr>
            <w:rStyle w:val="Hyperlink"/>
            <w:rFonts w:ascii="Cambria" w:hAnsi="Cambria"/>
            <w:noProof/>
          </w:rPr>
          <w:t>2.5.1.</w:t>
        </w:r>
        <w:r w:rsidR="00C03C1B">
          <w:rPr>
            <w:rFonts w:asciiTheme="minorHAnsi" w:eastAsiaTheme="minorEastAsia" w:hAnsiTheme="minorHAnsi" w:cstheme="minorBidi"/>
            <w:noProof/>
            <w:sz w:val="22"/>
            <w:szCs w:val="22"/>
            <w:lang w:val="en-IN" w:eastAsia="en-IN"/>
          </w:rPr>
          <w:tab/>
        </w:r>
        <w:r w:rsidR="00C03C1B" w:rsidRPr="005A08C7">
          <w:rPr>
            <w:rStyle w:val="Hyperlink"/>
            <w:rFonts w:ascii="Cambria" w:hAnsi="Cambria"/>
            <w:noProof/>
          </w:rPr>
          <w:t>Annual Inspection Fees of Lines and Substations:</w:t>
        </w:r>
        <w:r w:rsidR="00C03C1B">
          <w:rPr>
            <w:noProof/>
            <w:webHidden/>
          </w:rPr>
          <w:tab/>
        </w:r>
        <w:r>
          <w:rPr>
            <w:noProof/>
            <w:webHidden/>
          </w:rPr>
          <w:fldChar w:fldCharType="begin"/>
        </w:r>
        <w:r w:rsidR="00C03C1B">
          <w:rPr>
            <w:noProof/>
            <w:webHidden/>
          </w:rPr>
          <w:instrText xml:space="preserve"> PAGEREF _Toc404940138 \h </w:instrText>
        </w:r>
        <w:r>
          <w:rPr>
            <w:noProof/>
            <w:webHidden/>
          </w:rPr>
        </w:r>
        <w:r>
          <w:rPr>
            <w:noProof/>
            <w:webHidden/>
          </w:rPr>
          <w:fldChar w:fldCharType="separate"/>
        </w:r>
        <w:r w:rsidR="002F21B9">
          <w:rPr>
            <w:noProof/>
            <w:webHidden/>
          </w:rPr>
          <w:t>17</w:t>
        </w:r>
        <w:r>
          <w:rPr>
            <w:noProof/>
            <w:webHidden/>
          </w:rPr>
          <w:fldChar w:fldCharType="end"/>
        </w:r>
      </w:hyperlink>
    </w:p>
    <w:p w:rsidR="00C03C1B" w:rsidRDefault="00291770">
      <w:pPr>
        <w:pStyle w:val="TOC1"/>
        <w:tabs>
          <w:tab w:val="left" w:pos="880"/>
          <w:tab w:val="right" w:leader="dot" w:pos="9305"/>
        </w:tabs>
        <w:rPr>
          <w:rFonts w:asciiTheme="minorHAnsi" w:eastAsiaTheme="minorEastAsia" w:hAnsiTheme="minorHAnsi" w:cstheme="minorBidi"/>
          <w:noProof/>
          <w:sz w:val="22"/>
          <w:szCs w:val="22"/>
          <w:lang w:val="en-IN" w:eastAsia="en-IN"/>
        </w:rPr>
      </w:pPr>
      <w:hyperlink w:anchor="_Toc404940139" w:history="1">
        <w:r w:rsidR="00C03C1B" w:rsidRPr="005A08C7">
          <w:rPr>
            <w:rStyle w:val="Hyperlink"/>
            <w:noProof/>
          </w:rPr>
          <w:t>2.5.2.</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Intra State ABT &amp; Energy Audit</w:t>
        </w:r>
        <w:r w:rsidR="00C03C1B">
          <w:rPr>
            <w:noProof/>
            <w:webHidden/>
          </w:rPr>
          <w:tab/>
        </w:r>
        <w:r>
          <w:rPr>
            <w:noProof/>
            <w:webHidden/>
          </w:rPr>
          <w:fldChar w:fldCharType="begin"/>
        </w:r>
        <w:r w:rsidR="00C03C1B">
          <w:rPr>
            <w:noProof/>
            <w:webHidden/>
          </w:rPr>
          <w:instrText xml:space="preserve"> PAGEREF _Toc404940139 \h </w:instrText>
        </w:r>
        <w:r>
          <w:rPr>
            <w:noProof/>
            <w:webHidden/>
          </w:rPr>
        </w:r>
        <w:r>
          <w:rPr>
            <w:noProof/>
            <w:webHidden/>
          </w:rPr>
          <w:fldChar w:fldCharType="separate"/>
        </w:r>
        <w:r w:rsidR="002F21B9">
          <w:rPr>
            <w:noProof/>
            <w:webHidden/>
          </w:rPr>
          <w:t>17</w:t>
        </w:r>
        <w:r>
          <w:rPr>
            <w:noProof/>
            <w:webHidden/>
          </w:rPr>
          <w:fldChar w:fldCharType="end"/>
        </w:r>
      </w:hyperlink>
    </w:p>
    <w:p w:rsidR="00C03C1B" w:rsidRDefault="00291770">
      <w:pPr>
        <w:pStyle w:val="TOC1"/>
        <w:tabs>
          <w:tab w:val="left" w:pos="880"/>
          <w:tab w:val="right" w:leader="dot" w:pos="9305"/>
        </w:tabs>
        <w:rPr>
          <w:rFonts w:asciiTheme="minorHAnsi" w:eastAsiaTheme="minorEastAsia" w:hAnsiTheme="minorHAnsi" w:cstheme="minorBidi"/>
          <w:noProof/>
          <w:sz w:val="22"/>
          <w:szCs w:val="22"/>
          <w:lang w:val="en-IN" w:eastAsia="en-IN"/>
        </w:rPr>
      </w:pPr>
      <w:hyperlink w:anchor="_Toc404940140" w:history="1">
        <w:r w:rsidR="00C03C1B" w:rsidRPr="005A08C7">
          <w:rPr>
            <w:rStyle w:val="Hyperlink"/>
            <w:noProof/>
          </w:rPr>
          <w:t>2.5.3.</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Implementation of Right to Information Act</w:t>
        </w:r>
        <w:r w:rsidR="00C03C1B">
          <w:rPr>
            <w:noProof/>
            <w:webHidden/>
          </w:rPr>
          <w:tab/>
        </w:r>
        <w:r>
          <w:rPr>
            <w:noProof/>
            <w:webHidden/>
          </w:rPr>
          <w:fldChar w:fldCharType="begin"/>
        </w:r>
        <w:r w:rsidR="00C03C1B">
          <w:rPr>
            <w:noProof/>
            <w:webHidden/>
          </w:rPr>
          <w:instrText xml:space="preserve"> PAGEREF _Toc404940140 \h </w:instrText>
        </w:r>
        <w:r>
          <w:rPr>
            <w:noProof/>
            <w:webHidden/>
          </w:rPr>
        </w:r>
        <w:r>
          <w:rPr>
            <w:noProof/>
            <w:webHidden/>
          </w:rPr>
          <w:fldChar w:fldCharType="separate"/>
        </w:r>
        <w:r w:rsidR="002F21B9">
          <w:rPr>
            <w:noProof/>
            <w:webHidden/>
          </w:rPr>
          <w:t>21</w:t>
        </w:r>
        <w:r>
          <w:rPr>
            <w:noProof/>
            <w:webHidden/>
          </w:rPr>
          <w:fldChar w:fldCharType="end"/>
        </w:r>
      </w:hyperlink>
    </w:p>
    <w:p w:rsidR="00C03C1B" w:rsidRDefault="00291770">
      <w:pPr>
        <w:pStyle w:val="TOC1"/>
        <w:tabs>
          <w:tab w:val="left" w:pos="880"/>
          <w:tab w:val="right" w:leader="dot" w:pos="9305"/>
        </w:tabs>
        <w:rPr>
          <w:rFonts w:asciiTheme="minorHAnsi" w:eastAsiaTheme="minorEastAsia" w:hAnsiTheme="minorHAnsi" w:cstheme="minorBidi"/>
          <w:noProof/>
          <w:sz w:val="22"/>
          <w:szCs w:val="22"/>
          <w:lang w:val="en-IN" w:eastAsia="en-IN"/>
        </w:rPr>
      </w:pPr>
      <w:hyperlink w:anchor="_Toc404940141" w:history="1">
        <w:r w:rsidR="00C03C1B" w:rsidRPr="005A08C7">
          <w:rPr>
            <w:rStyle w:val="Hyperlink"/>
            <w:noProof/>
          </w:rPr>
          <w:t>2.5.4.</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Demand Side Management</w:t>
        </w:r>
        <w:r w:rsidR="00C03C1B">
          <w:rPr>
            <w:noProof/>
            <w:webHidden/>
          </w:rPr>
          <w:tab/>
        </w:r>
        <w:r>
          <w:rPr>
            <w:noProof/>
            <w:webHidden/>
          </w:rPr>
          <w:fldChar w:fldCharType="begin"/>
        </w:r>
        <w:r w:rsidR="00C03C1B">
          <w:rPr>
            <w:noProof/>
            <w:webHidden/>
          </w:rPr>
          <w:instrText xml:space="preserve"> PAGEREF _Toc404940141 \h </w:instrText>
        </w:r>
        <w:r>
          <w:rPr>
            <w:noProof/>
            <w:webHidden/>
          </w:rPr>
        </w:r>
        <w:r>
          <w:rPr>
            <w:noProof/>
            <w:webHidden/>
          </w:rPr>
          <w:fldChar w:fldCharType="separate"/>
        </w:r>
        <w:r w:rsidR="002F21B9">
          <w:rPr>
            <w:noProof/>
            <w:webHidden/>
          </w:rPr>
          <w:t>22</w:t>
        </w:r>
        <w:r>
          <w:rPr>
            <w:noProof/>
            <w:webHidden/>
          </w:rPr>
          <w:fldChar w:fldCharType="end"/>
        </w:r>
      </w:hyperlink>
    </w:p>
    <w:p w:rsidR="00C03C1B" w:rsidRDefault="00291770">
      <w:pPr>
        <w:pStyle w:val="TOC1"/>
        <w:tabs>
          <w:tab w:val="left" w:pos="880"/>
          <w:tab w:val="right" w:leader="dot" w:pos="9305"/>
        </w:tabs>
        <w:rPr>
          <w:rFonts w:asciiTheme="minorHAnsi" w:eastAsiaTheme="minorEastAsia" w:hAnsiTheme="minorHAnsi" w:cstheme="minorBidi"/>
          <w:noProof/>
          <w:sz w:val="22"/>
          <w:szCs w:val="22"/>
          <w:lang w:val="en-IN" w:eastAsia="en-IN"/>
        </w:rPr>
      </w:pPr>
      <w:hyperlink w:anchor="_Toc404940142" w:history="1">
        <w:r w:rsidR="00C03C1B" w:rsidRPr="005A08C7">
          <w:rPr>
            <w:rStyle w:val="Hyperlink"/>
            <w:noProof/>
          </w:rPr>
          <w:t>2.5.5.</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Implementation of Cloud based module and ERP:</w:t>
        </w:r>
        <w:r w:rsidR="00C03C1B">
          <w:rPr>
            <w:noProof/>
            <w:webHidden/>
          </w:rPr>
          <w:tab/>
        </w:r>
        <w:r>
          <w:rPr>
            <w:noProof/>
            <w:webHidden/>
          </w:rPr>
          <w:fldChar w:fldCharType="begin"/>
        </w:r>
        <w:r w:rsidR="00C03C1B">
          <w:rPr>
            <w:noProof/>
            <w:webHidden/>
          </w:rPr>
          <w:instrText xml:space="preserve"> PAGEREF _Toc404940142 \h </w:instrText>
        </w:r>
        <w:r>
          <w:rPr>
            <w:noProof/>
            <w:webHidden/>
          </w:rPr>
        </w:r>
        <w:r>
          <w:rPr>
            <w:noProof/>
            <w:webHidden/>
          </w:rPr>
          <w:fldChar w:fldCharType="separate"/>
        </w:r>
        <w:r w:rsidR="002F21B9">
          <w:rPr>
            <w:noProof/>
            <w:webHidden/>
          </w:rPr>
          <w:t>23</w:t>
        </w:r>
        <w:r>
          <w:rPr>
            <w:noProof/>
            <w:webHidden/>
          </w:rPr>
          <w:fldChar w:fldCharType="end"/>
        </w:r>
      </w:hyperlink>
    </w:p>
    <w:p w:rsidR="00C03C1B" w:rsidRDefault="00291770">
      <w:pPr>
        <w:pStyle w:val="TOC1"/>
        <w:tabs>
          <w:tab w:val="left" w:pos="880"/>
          <w:tab w:val="right" w:leader="dot" w:pos="9305"/>
        </w:tabs>
        <w:rPr>
          <w:rFonts w:asciiTheme="minorHAnsi" w:eastAsiaTheme="minorEastAsia" w:hAnsiTheme="minorHAnsi" w:cstheme="minorBidi"/>
          <w:noProof/>
          <w:sz w:val="22"/>
          <w:szCs w:val="22"/>
          <w:lang w:val="en-IN" w:eastAsia="en-IN"/>
        </w:rPr>
      </w:pPr>
      <w:hyperlink w:anchor="_Toc404940143" w:history="1">
        <w:r w:rsidR="00C03C1B" w:rsidRPr="005A08C7">
          <w:rPr>
            <w:rStyle w:val="Hyperlink"/>
            <w:noProof/>
            <w:lang w:val="en-GB"/>
          </w:rPr>
          <w:t>2.5.6.</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Cess as per the Building and other construction Workers (RE&amp;CS)Act, 1996</w:t>
        </w:r>
        <w:r w:rsidR="00C03C1B">
          <w:rPr>
            <w:noProof/>
            <w:webHidden/>
          </w:rPr>
          <w:tab/>
        </w:r>
        <w:r>
          <w:rPr>
            <w:noProof/>
            <w:webHidden/>
          </w:rPr>
          <w:fldChar w:fldCharType="begin"/>
        </w:r>
        <w:r w:rsidR="00C03C1B">
          <w:rPr>
            <w:noProof/>
            <w:webHidden/>
          </w:rPr>
          <w:instrText xml:space="preserve"> PAGEREF _Toc404940143 \h </w:instrText>
        </w:r>
        <w:r>
          <w:rPr>
            <w:noProof/>
            <w:webHidden/>
          </w:rPr>
        </w:r>
        <w:r>
          <w:rPr>
            <w:noProof/>
            <w:webHidden/>
          </w:rPr>
          <w:fldChar w:fldCharType="separate"/>
        </w:r>
        <w:r w:rsidR="002F21B9">
          <w:rPr>
            <w:noProof/>
            <w:webHidden/>
          </w:rPr>
          <w:t>24</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44" w:history="1">
        <w:r w:rsidR="00C03C1B" w:rsidRPr="005A08C7">
          <w:rPr>
            <w:rStyle w:val="Hyperlink"/>
            <w:noProof/>
          </w:rPr>
          <w:t>2.6.</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Repair &amp; Maintenance Expenses</w:t>
        </w:r>
        <w:r w:rsidR="00C03C1B">
          <w:rPr>
            <w:noProof/>
            <w:webHidden/>
          </w:rPr>
          <w:tab/>
        </w:r>
        <w:r>
          <w:rPr>
            <w:noProof/>
            <w:webHidden/>
          </w:rPr>
          <w:fldChar w:fldCharType="begin"/>
        </w:r>
        <w:r w:rsidR="00C03C1B">
          <w:rPr>
            <w:noProof/>
            <w:webHidden/>
          </w:rPr>
          <w:instrText xml:space="preserve"> PAGEREF _Toc404940144 \h </w:instrText>
        </w:r>
        <w:r>
          <w:rPr>
            <w:noProof/>
            <w:webHidden/>
          </w:rPr>
        </w:r>
        <w:r>
          <w:rPr>
            <w:noProof/>
            <w:webHidden/>
          </w:rPr>
          <w:fldChar w:fldCharType="separate"/>
        </w:r>
        <w:r w:rsidR="002F21B9">
          <w:rPr>
            <w:noProof/>
            <w:webHidden/>
          </w:rPr>
          <w:t>24</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45" w:history="1">
        <w:r w:rsidR="00C03C1B" w:rsidRPr="005A08C7">
          <w:rPr>
            <w:rStyle w:val="Hyperlink"/>
            <w:noProof/>
          </w:rPr>
          <w:t>2.7.</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Provision for Bad and Doubtful Debts</w:t>
        </w:r>
        <w:r w:rsidR="00C03C1B">
          <w:rPr>
            <w:noProof/>
            <w:webHidden/>
          </w:rPr>
          <w:tab/>
        </w:r>
        <w:r>
          <w:rPr>
            <w:noProof/>
            <w:webHidden/>
          </w:rPr>
          <w:fldChar w:fldCharType="begin"/>
        </w:r>
        <w:r w:rsidR="00C03C1B">
          <w:rPr>
            <w:noProof/>
            <w:webHidden/>
          </w:rPr>
          <w:instrText xml:space="preserve"> PAGEREF _Toc404940145 \h </w:instrText>
        </w:r>
        <w:r>
          <w:rPr>
            <w:noProof/>
            <w:webHidden/>
          </w:rPr>
        </w:r>
        <w:r>
          <w:rPr>
            <w:noProof/>
            <w:webHidden/>
          </w:rPr>
          <w:fldChar w:fldCharType="separate"/>
        </w:r>
        <w:r w:rsidR="002F21B9">
          <w:rPr>
            <w:noProof/>
            <w:webHidden/>
          </w:rPr>
          <w:t>25</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46" w:history="1">
        <w:r w:rsidR="00C03C1B" w:rsidRPr="005A08C7">
          <w:rPr>
            <w:rStyle w:val="Hyperlink"/>
            <w:noProof/>
          </w:rPr>
          <w:t>2.8.</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Depreciation</w:t>
        </w:r>
        <w:r w:rsidR="00C03C1B">
          <w:rPr>
            <w:noProof/>
            <w:webHidden/>
          </w:rPr>
          <w:tab/>
        </w:r>
        <w:r>
          <w:rPr>
            <w:noProof/>
            <w:webHidden/>
          </w:rPr>
          <w:fldChar w:fldCharType="begin"/>
        </w:r>
        <w:r w:rsidR="00C03C1B">
          <w:rPr>
            <w:noProof/>
            <w:webHidden/>
          </w:rPr>
          <w:instrText xml:space="preserve"> PAGEREF _Toc404940146 \h </w:instrText>
        </w:r>
        <w:r>
          <w:rPr>
            <w:noProof/>
            <w:webHidden/>
          </w:rPr>
        </w:r>
        <w:r>
          <w:rPr>
            <w:noProof/>
            <w:webHidden/>
          </w:rPr>
          <w:fldChar w:fldCharType="separate"/>
        </w:r>
        <w:r w:rsidR="002F21B9">
          <w:rPr>
            <w:noProof/>
            <w:webHidden/>
          </w:rPr>
          <w:t>26</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47" w:history="1">
        <w:r w:rsidR="00C03C1B" w:rsidRPr="005A08C7">
          <w:rPr>
            <w:rStyle w:val="Hyperlink"/>
            <w:noProof/>
          </w:rPr>
          <w:t>2.9.</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Interest Expenses</w:t>
        </w:r>
        <w:r w:rsidR="00C03C1B">
          <w:rPr>
            <w:noProof/>
            <w:webHidden/>
          </w:rPr>
          <w:tab/>
        </w:r>
        <w:r>
          <w:rPr>
            <w:noProof/>
            <w:webHidden/>
          </w:rPr>
          <w:fldChar w:fldCharType="begin"/>
        </w:r>
        <w:r w:rsidR="00C03C1B">
          <w:rPr>
            <w:noProof/>
            <w:webHidden/>
          </w:rPr>
          <w:instrText xml:space="preserve"> PAGEREF _Toc404940147 \h </w:instrText>
        </w:r>
        <w:r>
          <w:rPr>
            <w:noProof/>
            <w:webHidden/>
          </w:rPr>
        </w:r>
        <w:r>
          <w:rPr>
            <w:noProof/>
            <w:webHidden/>
          </w:rPr>
          <w:fldChar w:fldCharType="separate"/>
        </w:r>
        <w:r w:rsidR="002F21B9">
          <w:rPr>
            <w:noProof/>
            <w:webHidden/>
          </w:rPr>
          <w:t>26</w:t>
        </w:r>
        <w:r>
          <w:rPr>
            <w:noProof/>
            <w:webHidden/>
          </w:rPr>
          <w:fldChar w:fldCharType="end"/>
        </w:r>
      </w:hyperlink>
    </w:p>
    <w:p w:rsidR="00C03C1B" w:rsidRDefault="00291770">
      <w:pPr>
        <w:pStyle w:val="TOC1"/>
        <w:tabs>
          <w:tab w:val="left" w:pos="880"/>
          <w:tab w:val="right" w:leader="dot" w:pos="9305"/>
        </w:tabs>
        <w:rPr>
          <w:rFonts w:asciiTheme="minorHAnsi" w:eastAsiaTheme="minorEastAsia" w:hAnsiTheme="minorHAnsi" w:cstheme="minorBidi"/>
          <w:noProof/>
          <w:sz w:val="22"/>
          <w:szCs w:val="22"/>
          <w:lang w:val="en-IN" w:eastAsia="en-IN"/>
        </w:rPr>
      </w:pPr>
      <w:hyperlink w:anchor="_Toc404940148" w:history="1">
        <w:r w:rsidR="00C03C1B" w:rsidRPr="005A08C7">
          <w:rPr>
            <w:rStyle w:val="Hyperlink"/>
            <w:noProof/>
          </w:rPr>
          <w:t>2.9.1.</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GRIDCO Loan and BST Outstanding</w:t>
        </w:r>
        <w:r w:rsidR="00C03C1B">
          <w:rPr>
            <w:noProof/>
            <w:webHidden/>
          </w:rPr>
          <w:tab/>
        </w:r>
        <w:r>
          <w:rPr>
            <w:noProof/>
            <w:webHidden/>
          </w:rPr>
          <w:fldChar w:fldCharType="begin"/>
        </w:r>
        <w:r w:rsidR="00C03C1B">
          <w:rPr>
            <w:noProof/>
            <w:webHidden/>
          </w:rPr>
          <w:instrText xml:space="preserve"> PAGEREF _Toc404940148 \h </w:instrText>
        </w:r>
        <w:r>
          <w:rPr>
            <w:noProof/>
            <w:webHidden/>
          </w:rPr>
        </w:r>
        <w:r>
          <w:rPr>
            <w:noProof/>
            <w:webHidden/>
          </w:rPr>
          <w:fldChar w:fldCharType="separate"/>
        </w:r>
        <w:r w:rsidR="002F21B9">
          <w:rPr>
            <w:noProof/>
            <w:webHidden/>
          </w:rPr>
          <w:t>26</w:t>
        </w:r>
        <w:r>
          <w:rPr>
            <w:noProof/>
            <w:webHidden/>
          </w:rPr>
          <w:fldChar w:fldCharType="end"/>
        </w:r>
      </w:hyperlink>
    </w:p>
    <w:p w:rsidR="00C03C1B" w:rsidRDefault="00291770">
      <w:pPr>
        <w:pStyle w:val="TOC1"/>
        <w:tabs>
          <w:tab w:val="left" w:pos="880"/>
          <w:tab w:val="right" w:leader="dot" w:pos="9305"/>
        </w:tabs>
        <w:rPr>
          <w:rFonts w:asciiTheme="minorHAnsi" w:eastAsiaTheme="minorEastAsia" w:hAnsiTheme="minorHAnsi" w:cstheme="minorBidi"/>
          <w:noProof/>
          <w:sz w:val="22"/>
          <w:szCs w:val="22"/>
          <w:lang w:val="en-IN" w:eastAsia="en-IN"/>
        </w:rPr>
      </w:pPr>
      <w:hyperlink w:anchor="_Toc404940149" w:history="1">
        <w:r w:rsidR="00C03C1B" w:rsidRPr="005A08C7">
          <w:rPr>
            <w:rStyle w:val="Hyperlink"/>
            <w:noProof/>
          </w:rPr>
          <w:t>2.9.2.</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World Bank Loan</w:t>
        </w:r>
        <w:r w:rsidR="00C03C1B">
          <w:rPr>
            <w:noProof/>
            <w:webHidden/>
          </w:rPr>
          <w:tab/>
        </w:r>
        <w:r>
          <w:rPr>
            <w:noProof/>
            <w:webHidden/>
          </w:rPr>
          <w:fldChar w:fldCharType="begin"/>
        </w:r>
        <w:r w:rsidR="00C03C1B">
          <w:rPr>
            <w:noProof/>
            <w:webHidden/>
          </w:rPr>
          <w:instrText xml:space="preserve"> PAGEREF _Toc404940149 \h </w:instrText>
        </w:r>
        <w:r>
          <w:rPr>
            <w:noProof/>
            <w:webHidden/>
          </w:rPr>
        </w:r>
        <w:r>
          <w:rPr>
            <w:noProof/>
            <w:webHidden/>
          </w:rPr>
          <w:fldChar w:fldCharType="separate"/>
        </w:r>
        <w:r w:rsidR="002F21B9">
          <w:rPr>
            <w:noProof/>
            <w:webHidden/>
          </w:rPr>
          <w:t>27</w:t>
        </w:r>
        <w:r>
          <w:rPr>
            <w:noProof/>
            <w:webHidden/>
          </w:rPr>
          <w:fldChar w:fldCharType="end"/>
        </w:r>
      </w:hyperlink>
    </w:p>
    <w:p w:rsidR="00C03C1B" w:rsidRDefault="00291770">
      <w:pPr>
        <w:pStyle w:val="TOC1"/>
        <w:tabs>
          <w:tab w:val="left" w:pos="880"/>
          <w:tab w:val="right" w:leader="dot" w:pos="9305"/>
        </w:tabs>
        <w:rPr>
          <w:rFonts w:asciiTheme="minorHAnsi" w:eastAsiaTheme="minorEastAsia" w:hAnsiTheme="minorHAnsi" w:cstheme="minorBidi"/>
          <w:noProof/>
          <w:sz w:val="22"/>
          <w:szCs w:val="22"/>
          <w:lang w:val="en-IN" w:eastAsia="en-IN"/>
        </w:rPr>
      </w:pPr>
      <w:hyperlink w:anchor="_Toc404940150" w:history="1">
        <w:r w:rsidR="00C03C1B" w:rsidRPr="005A08C7">
          <w:rPr>
            <w:rStyle w:val="Hyperlink"/>
            <w:noProof/>
          </w:rPr>
          <w:t>2.9.3.</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Capex Loan from Govt. of Odisha</w:t>
        </w:r>
        <w:r w:rsidR="00C03C1B">
          <w:rPr>
            <w:noProof/>
            <w:webHidden/>
          </w:rPr>
          <w:tab/>
        </w:r>
        <w:r>
          <w:rPr>
            <w:noProof/>
            <w:webHidden/>
          </w:rPr>
          <w:fldChar w:fldCharType="begin"/>
        </w:r>
        <w:r w:rsidR="00C03C1B">
          <w:rPr>
            <w:noProof/>
            <w:webHidden/>
          </w:rPr>
          <w:instrText xml:space="preserve"> PAGEREF _Toc404940150 \h </w:instrText>
        </w:r>
        <w:r>
          <w:rPr>
            <w:noProof/>
            <w:webHidden/>
          </w:rPr>
        </w:r>
        <w:r>
          <w:rPr>
            <w:noProof/>
            <w:webHidden/>
          </w:rPr>
          <w:fldChar w:fldCharType="separate"/>
        </w:r>
        <w:r w:rsidR="002F21B9">
          <w:rPr>
            <w:noProof/>
            <w:webHidden/>
          </w:rPr>
          <w:t>28</w:t>
        </w:r>
        <w:r>
          <w:rPr>
            <w:noProof/>
            <w:webHidden/>
          </w:rPr>
          <w:fldChar w:fldCharType="end"/>
        </w:r>
      </w:hyperlink>
    </w:p>
    <w:p w:rsidR="00C03C1B" w:rsidRDefault="00291770">
      <w:pPr>
        <w:pStyle w:val="TOC1"/>
        <w:tabs>
          <w:tab w:val="left" w:pos="880"/>
          <w:tab w:val="right" w:leader="dot" w:pos="9305"/>
        </w:tabs>
        <w:rPr>
          <w:rFonts w:asciiTheme="minorHAnsi" w:eastAsiaTheme="minorEastAsia" w:hAnsiTheme="minorHAnsi" w:cstheme="minorBidi"/>
          <w:noProof/>
          <w:sz w:val="22"/>
          <w:szCs w:val="22"/>
          <w:lang w:val="en-IN" w:eastAsia="en-IN"/>
        </w:rPr>
      </w:pPr>
      <w:hyperlink w:anchor="_Toc404940151" w:history="1">
        <w:r w:rsidR="00C03C1B" w:rsidRPr="005A08C7">
          <w:rPr>
            <w:rStyle w:val="Hyperlink"/>
            <w:noProof/>
          </w:rPr>
          <w:t>2.9.4.</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Interest on SI Schemes &amp; counter part funding from REC for GoO Capex</w:t>
        </w:r>
        <w:r w:rsidR="00C03C1B">
          <w:rPr>
            <w:noProof/>
            <w:webHidden/>
          </w:rPr>
          <w:tab/>
        </w:r>
        <w:r>
          <w:rPr>
            <w:noProof/>
            <w:webHidden/>
          </w:rPr>
          <w:fldChar w:fldCharType="begin"/>
        </w:r>
        <w:r w:rsidR="00C03C1B">
          <w:rPr>
            <w:noProof/>
            <w:webHidden/>
          </w:rPr>
          <w:instrText xml:space="preserve"> PAGEREF _Toc404940151 \h </w:instrText>
        </w:r>
        <w:r>
          <w:rPr>
            <w:noProof/>
            <w:webHidden/>
          </w:rPr>
        </w:r>
        <w:r>
          <w:rPr>
            <w:noProof/>
            <w:webHidden/>
          </w:rPr>
          <w:fldChar w:fldCharType="separate"/>
        </w:r>
        <w:r w:rsidR="002F21B9">
          <w:rPr>
            <w:noProof/>
            <w:webHidden/>
          </w:rPr>
          <w:t>28</w:t>
        </w:r>
        <w:r>
          <w:rPr>
            <w:noProof/>
            <w:webHidden/>
          </w:rPr>
          <w:fldChar w:fldCharType="end"/>
        </w:r>
      </w:hyperlink>
    </w:p>
    <w:p w:rsidR="00C03C1B" w:rsidRDefault="00291770">
      <w:pPr>
        <w:pStyle w:val="TOC1"/>
        <w:tabs>
          <w:tab w:val="left" w:pos="880"/>
          <w:tab w:val="right" w:leader="dot" w:pos="9305"/>
        </w:tabs>
        <w:rPr>
          <w:rFonts w:asciiTheme="minorHAnsi" w:eastAsiaTheme="minorEastAsia" w:hAnsiTheme="minorHAnsi" w:cstheme="minorBidi"/>
          <w:noProof/>
          <w:sz w:val="22"/>
          <w:szCs w:val="22"/>
          <w:lang w:val="en-IN" w:eastAsia="en-IN"/>
        </w:rPr>
      </w:pPr>
      <w:hyperlink w:anchor="_Toc404940152" w:history="1">
        <w:r w:rsidR="00C03C1B" w:rsidRPr="005A08C7">
          <w:rPr>
            <w:rStyle w:val="Hyperlink"/>
            <w:noProof/>
          </w:rPr>
          <w:t>2.9.5.</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Interest on Security Deposit</w:t>
        </w:r>
        <w:r w:rsidR="00C03C1B">
          <w:rPr>
            <w:noProof/>
            <w:webHidden/>
          </w:rPr>
          <w:tab/>
        </w:r>
        <w:r>
          <w:rPr>
            <w:noProof/>
            <w:webHidden/>
          </w:rPr>
          <w:fldChar w:fldCharType="begin"/>
        </w:r>
        <w:r w:rsidR="00C03C1B">
          <w:rPr>
            <w:noProof/>
            <w:webHidden/>
          </w:rPr>
          <w:instrText xml:space="preserve"> PAGEREF _Toc404940152 \h </w:instrText>
        </w:r>
        <w:r>
          <w:rPr>
            <w:noProof/>
            <w:webHidden/>
          </w:rPr>
        </w:r>
        <w:r>
          <w:rPr>
            <w:noProof/>
            <w:webHidden/>
          </w:rPr>
          <w:fldChar w:fldCharType="separate"/>
        </w:r>
        <w:r w:rsidR="002F21B9">
          <w:rPr>
            <w:noProof/>
            <w:webHidden/>
          </w:rPr>
          <w:t>28</w:t>
        </w:r>
        <w:r>
          <w:rPr>
            <w:noProof/>
            <w:webHidden/>
          </w:rPr>
          <w:fldChar w:fldCharType="end"/>
        </w:r>
      </w:hyperlink>
    </w:p>
    <w:p w:rsidR="00C03C1B" w:rsidRDefault="00291770">
      <w:pPr>
        <w:pStyle w:val="TOC1"/>
        <w:tabs>
          <w:tab w:val="left" w:pos="880"/>
          <w:tab w:val="right" w:leader="dot" w:pos="9305"/>
        </w:tabs>
        <w:rPr>
          <w:rFonts w:asciiTheme="minorHAnsi" w:eastAsiaTheme="minorEastAsia" w:hAnsiTheme="minorHAnsi" w:cstheme="minorBidi"/>
          <w:noProof/>
          <w:sz w:val="22"/>
          <w:szCs w:val="22"/>
          <w:lang w:val="en-IN" w:eastAsia="en-IN"/>
        </w:rPr>
      </w:pPr>
      <w:hyperlink w:anchor="_Toc404940153" w:history="1">
        <w:r w:rsidR="00C03C1B" w:rsidRPr="005A08C7">
          <w:rPr>
            <w:rStyle w:val="Hyperlink"/>
            <w:noProof/>
          </w:rPr>
          <w:t>2.9.6.</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Interest Capitalized</w:t>
        </w:r>
        <w:r w:rsidR="00C03C1B">
          <w:rPr>
            <w:noProof/>
            <w:webHidden/>
          </w:rPr>
          <w:tab/>
        </w:r>
        <w:r>
          <w:rPr>
            <w:noProof/>
            <w:webHidden/>
          </w:rPr>
          <w:fldChar w:fldCharType="begin"/>
        </w:r>
        <w:r w:rsidR="00C03C1B">
          <w:rPr>
            <w:noProof/>
            <w:webHidden/>
          </w:rPr>
          <w:instrText xml:space="preserve"> PAGEREF _Toc404940153 \h </w:instrText>
        </w:r>
        <w:r>
          <w:rPr>
            <w:noProof/>
            <w:webHidden/>
          </w:rPr>
        </w:r>
        <w:r>
          <w:rPr>
            <w:noProof/>
            <w:webHidden/>
          </w:rPr>
          <w:fldChar w:fldCharType="separate"/>
        </w:r>
        <w:r w:rsidR="002F21B9">
          <w:rPr>
            <w:noProof/>
            <w:webHidden/>
          </w:rPr>
          <w:t>29</w:t>
        </w:r>
        <w:r>
          <w:rPr>
            <w:noProof/>
            <w:webHidden/>
          </w:rPr>
          <w:fldChar w:fldCharType="end"/>
        </w:r>
      </w:hyperlink>
    </w:p>
    <w:p w:rsidR="00C03C1B" w:rsidRDefault="00291770">
      <w:pPr>
        <w:pStyle w:val="TOC1"/>
        <w:tabs>
          <w:tab w:val="left" w:pos="880"/>
          <w:tab w:val="right" w:leader="dot" w:pos="9305"/>
        </w:tabs>
        <w:rPr>
          <w:rFonts w:asciiTheme="minorHAnsi" w:eastAsiaTheme="minorEastAsia" w:hAnsiTheme="minorHAnsi" w:cstheme="minorBidi"/>
          <w:noProof/>
          <w:sz w:val="22"/>
          <w:szCs w:val="22"/>
          <w:lang w:val="en-IN" w:eastAsia="en-IN"/>
        </w:rPr>
      </w:pPr>
      <w:hyperlink w:anchor="_Toc404940154" w:history="1">
        <w:r w:rsidR="00C03C1B" w:rsidRPr="005A08C7">
          <w:rPr>
            <w:rStyle w:val="Hyperlink"/>
            <w:noProof/>
          </w:rPr>
          <w:t>2.9.7.</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Total Interest for Financial Year FY 2015-16</w:t>
        </w:r>
        <w:r w:rsidR="00C03C1B">
          <w:rPr>
            <w:noProof/>
            <w:webHidden/>
          </w:rPr>
          <w:tab/>
        </w:r>
        <w:r>
          <w:rPr>
            <w:noProof/>
            <w:webHidden/>
          </w:rPr>
          <w:fldChar w:fldCharType="begin"/>
        </w:r>
        <w:r w:rsidR="00C03C1B">
          <w:rPr>
            <w:noProof/>
            <w:webHidden/>
          </w:rPr>
          <w:instrText xml:space="preserve"> PAGEREF _Toc404940154 \h </w:instrText>
        </w:r>
        <w:r>
          <w:rPr>
            <w:noProof/>
            <w:webHidden/>
          </w:rPr>
        </w:r>
        <w:r>
          <w:rPr>
            <w:noProof/>
            <w:webHidden/>
          </w:rPr>
          <w:fldChar w:fldCharType="separate"/>
        </w:r>
        <w:r w:rsidR="002F21B9">
          <w:rPr>
            <w:noProof/>
            <w:webHidden/>
          </w:rPr>
          <w:t>29</w:t>
        </w:r>
        <w:r>
          <w:rPr>
            <w:noProof/>
            <w:webHidden/>
          </w:rPr>
          <w:fldChar w:fldCharType="end"/>
        </w:r>
      </w:hyperlink>
    </w:p>
    <w:p w:rsidR="00C03C1B" w:rsidRDefault="00291770">
      <w:pPr>
        <w:pStyle w:val="TOC1"/>
        <w:tabs>
          <w:tab w:val="left" w:pos="480"/>
          <w:tab w:val="right" w:leader="dot" w:pos="9305"/>
        </w:tabs>
        <w:rPr>
          <w:rFonts w:asciiTheme="minorHAnsi" w:eastAsiaTheme="minorEastAsia" w:hAnsiTheme="minorHAnsi" w:cstheme="minorBidi"/>
          <w:noProof/>
          <w:sz w:val="22"/>
          <w:szCs w:val="22"/>
          <w:lang w:val="en-IN" w:eastAsia="en-IN"/>
        </w:rPr>
      </w:pPr>
      <w:hyperlink w:anchor="_Toc404940155" w:history="1">
        <w:r w:rsidR="00C03C1B" w:rsidRPr="005A08C7">
          <w:rPr>
            <w:rStyle w:val="Hyperlink"/>
            <w:noProof/>
          </w:rPr>
          <w:t>3.</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Capital Expenditure Programs</w:t>
        </w:r>
        <w:r w:rsidR="00C03C1B">
          <w:rPr>
            <w:noProof/>
            <w:webHidden/>
          </w:rPr>
          <w:tab/>
        </w:r>
        <w:r>
          <w:rPr>
            <w:noProof/>
            <w:webHidden/>
          </w:rPr>
          <w:fldChar w:fldCharType="begin"/>
        </w:r>
        <w:r w:rsidR="00C03C1B">
          <w:rPr>
            <w:noProof/>
            <w:webHidden/>
          </w:rPr>
          <w:instrText xml:space="preserve"> PAGEREF _Toc404940155 \h </w:instrText>
        </w:r>
        <w:r>
          <w:rPr>
            <w:noProof/>
            <w:webHidden/>
          </w:rPr>
        </w:r>
        <w:r>
          <w:rPr>
            <w:noProof/>
            <w:webHidden/>
          </w:rPr>
          <w:fldChar w:fldCharType="separate"/>
        </w:r>
        <w:r w:rsidR="002F21B9">
          <w:rPr>
            <w:noProof/>
            <w:webHidden/>
          </w:rPr>
          <w:t>29</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56" w:history="1">
        <w:r w:rsidR="00C03C1B" w:rsidRPr="005A08C7">
          <w:rPr>
            <w:rStyle w:val="Hyperlink"/>
            <w:noProof/>
          </w:rPr>
          <w:t>3.1.</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Biju Gramjyoti Yojana (BGJY)</w:t>
        </w:r>
        <w:r w:rsidR="00C03C1B">
          <w:rPr>
            <w:noProof/>
            <w:webHidden/>
          </w:rPr>
          <w:tab/>
        </w:r>
        <w:r>
          <w:rPr>
            <w:noProof/>
            <w:webHidden/>
          </w:rPr>
          <w:fldChar w:fldCharType="begin"/>
        </w:r>
        <w:r w:rsidR="00C03C1B">
          <w:rPr>
            <w:noProof/>
            <w:webHidden/>
          </w:rPr>
          <w:instrText xml:space="preserve"> PAGEREF _Toc404940156 \h </w:instrText>
        </w:r>
        <w:r>
          <w:rPr>
            <w:noProof/>
            <w:webHidden/>
          </w:rPr>
        </w:r>
        <w:r>
          <w:rPr>
            <w:noProof/>
            <w:webHidden/>
          </w:rPr>
          <w:fldChar w:fldCharType="separate"/>
        </w:r>
        <w:r w:rsidR="002F21B9">
          <w:rPr>
            <w:noProof/>
            <w:webHidden/>
          </w:rPr>
          <w:t>30</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57" w:history="1">
        <w:r w:rsidR="00C03C1B" w:rsidRPr="005A08C7">
          <w:rPr>
            <w:rStyle w:val="Hyperlink"/>
            <w:noProof/>
          </w:rPr>
          <w:t>3.2.</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Biju Saharanchal Vidyuitikaran Yojana (BSVY)</w:t>
        </w:r>
        <w:r w:rsidR="00C03C1B">
          <w:rPr>
            <w:noProof/>
            <w:webHidden/>
          </w:rPr>
          <w:tab/>
        </w:r>
        <w:r>
          <w:rPr>
            <w:noProof/>
            <w:webHidden/>
          </w:rPr>
          <w:fldChar w:fldCharType="begin"/>
        </w:r>
        <w:r w:rsidR="00C03C1B">
          <w:rPr>
            <w:noProof/>
            <w:webHidden/>
          </w:rPr>
          <w:instrText xml:space="preserve"> PAGEREF _Toc404940157 \h </w:instrText>
        </w:r>
        <w:r>
          <w:rPr>
            <w:noProof/>
            <w:webHidden/>
          </w:rPr>
        </w:r>
        <w:r>
          <w:rPr>
            <w:noProof/>
            <w:webHidden/>
          </w:rPr>
          <w:fldChar w:fldCharType="separate"/>
        </w:r>
        <w:r w:rsidR="002F21B9">
          <w:rPr>
            <w:noProof/>
            <w:webHidden/>
          </w:rPr>
          <w:t>30</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58" w:history="1">
        <w:r w:rsidR="00C03C1B" w:rsidRPr="005A08C7">
          <w:rPr>
            <w:rStyle w:val="Hyperlink"/>
            <w:noProof/>
          </w:rPr>
          <w:t>3.3.</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Development Programme of Energy System Improvement (DESI)</w:t>
        </w:r>
        <w:r w:rsidR="00C03C1B">
          <w:rPr>
            <w:noProof/>
            <w:webHidden/>
          </w:rPr>
          <w:tab/>
        </w:r>
        <w:r>
          <w:rPr>
            <w:noProof/>
            <w:webHidden/>
          </w:rPr>
          <w:fldChar w:fldCharType="begin"/>
        </w:r>
        <w:r w:rsidR="00C03C1B">
          <w:rPr>
            <w:noProof/>
            <w:webHidden/>
          </w:rPr>
          <w:instrText xml:space="preserve"> PAGEREF _Toc404940158 \h </w:instrText>
        </w:r>
        <w:r>
          <w:rPr>
            <w:noProof/>
            <w:webHidden/>
          </w:rPr>
        </w:r>
        <w:r>
          <w:rPr>
            <w:noProof/>
            <w:webHidden/>
          </w:rPr>
          <w:fldChar w:fldCharType="separate"/>
        </w:r>
        <w:r w:rsidR="002F21B9">
          <w:rPr>
            <w:noProof/>
            <w:webHidden/>
          </w:rPr>
          <w:t>31</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59" w:history="1">
        <w:r w:rsidR="00C03C1B" w:rsidRPr="005A08C7">
          <w:rPr>
            <w:rStyle w:val="Hyperlink"/>
            <w:noProof/>
          </w:rPr>
          <w:t>3.4.</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Capital Expenditure Programme (CAPEX)</w:t>
        </w:r>
        <w:r w:rsidR="00C03C1B">
          <w:rPr>
            <w:noProof/>
            <w:webHidden/>
          </w:rPr>
          <w:tab/>
        </w:r>
        <w:r>
          <w:rPr>
            <w:noProof/>
            <w:webHidden/>
          </w:rPr>
          <w:fldChar w:fldCharType="begin"/>
        </w:r>
        <w:r w:rsidR="00C03C1B">
          <w:rPr>
            <w:noProof/>
            <w:webHidden/>
          </w:rPr>
          <w:instrText xml:space="preserve"> PAGEREF _Toc404940159 \h </w:instrText>
        </w:r>
        <w:r>
          <w:rPr>
            <w:noProof/>
            <w:webHidden/>
          </w:rPr>
        </w:r>
        <w:r>
          <w:rPr>
            <w:noProof/>
            <w:webHidden/>
          </w:rPr>
          <w:fldChar w:fldCharType="separate"/>
        </w:r>
        <w:r w:rsidR="002F21B9">
          <w:rPr>
            <w:noProof/>
            <w:webHidden/>
          </w:rPr>
          <w:t>31</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60" w:history="1">
        <w:r w:rsidR="00C03C1B" w:rsidRPr="005A08C7">
          <w:rPr>
            <w:rStyle w:val="Hyperlink"/>
            <w:noProof/>
          </w:rPr>
          <w:t>3.5.</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Dedicated Power Supply to DHQ Hospital (DHH) &amp; (MCH)</w:t>
        </w:r>
        <w:r w:rsidR="00C03C1B">
          <w:rPr>
            <w:noProof/>
            <w:webHidden/>
          </w:rPr>
          <w:tab/>
        </w:r>
        <w:r>
          <w:rPr>
            <w:noProof/>
            <w:webHidden/>
          </w:rPr>
          <w:fldChar w:fldCharType="begin"/>
        </w:r>
        <w:r w:rsidR="00C03C1B">
          <w:rPr>
            <w:noProof/>
            <w:webHidden/>
          </w:rPr>
          <w:instrText xml:space="preserve"> PAGEREF _Toc404940160 \h </w:instrText>
        </w:r>
        <w:r>
          <w:rPr>
            <w:noProof/>
            <w:webHidden/>
          </w:rPr>
        </w:r>
        <w:r>
          <w:rPr>
            <w:noProof/>
            <w:webHidden/>
          </w:rPr>
          <w:fldChar w:fldCharType="separate"/>
        </w:r>
        <w:r w:rsidR="002F21B9">
          <w:rPr>
            <w:noProof/>
            <w:webHidden/>
          </w:rPr>
          <w:t>32</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61" w:history="1">
        <w:r w:rsidR="00C03C1B" w:rsidRPr="005A08C7">
          <w:rPr>
            <w:rStyle w:val="Hyperlink"/>
            <w:rFonts w:ascii="Cambria" w:hAnsi="Cambria"/>
            <w:noProof/>
          </w:rPr>
          <w:t>3.6.</w:t>
        </w:r>
        <w:r w:rsidR="00C03C1B">
          <w:rPr>
            <w:rFonts w:asciiTheme="minorHAnsi" w:eastAsiaTheme="minorEastAsia" w:hAnsiTheme="minorHAnsi" w:cstheme="minorBidi"/>
            <w:noProof/>
            <w:sz w:val="22"/>
            <w:szCs w:val="22"/>
            <w:lang w:val="en-IN" w:eastAsia="en-IN"/>
          </w:rPr>
          <w:tab/>
        </w:r>
        <w:r w:rsidR="00C03C1B" w:rsidRPr="005A08C7">
          <w:rPr>
            <w:rStyle w:val="Hyperlink"/>
            <w:rFonts w:ascii="Cambria" w:hAnsi="Cambria"/>
            <w:noProof/>
          </w:rPr>
          <w:t>Shifting of lines &amp; S/S from the Premises of Govt. Schools &amp; Anganwadi Centers</w:t>
        </w:r>
        <w:r w:rsidR="00C03C1B">
          <w:rPr>
            <w:noProof/>
            <w:webHidden/>
          </w:rPr>
          <w:tab/>
        </w:r>
        <w:r>
          <w:rPr>
            <w:noProof/>
            <w:webHidden/>
          </w:rPr>
          <w:fldChar w:fldCharType="begin"/>
        </w:r>
        <w:r w:rsidR="00C03C1B">
          <w:rPr>
            <w:noProof/>
            <w:webHidden/>
          </w:rPr>
          <w:instrText xml:space="preserve"> PAGEREF _Toc404940161 \h </w:instrText>
        </w:r>
        <w:r>
          <w:rPr>
            <w:noProof/>
            <w:webHidden/>
          </w:rPr>
        </w:r>
        <w:r>
          <w:rPr>
            <w:noProof/>
            <w:webHidden/>
          </w:rPr>
          <w:fldChar w:fldCharType="separate"/>
        </w:r>
        <w:r w:rsidR="002F21B9">
          <w:rPr>
            <w:noProof/>
            <w:webHidden/>
          </w:rPr>
          <w:t>32</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62" w:history="1">
        <w:r w:rsidR="00C03C1B" w:rsidRPr="005A08C7">
          <w:rPr>
            <w:rStyle w:val="Hyperlink"/>
            <w:noProof/>
          </w:rPr>
          <w:t>3.7.</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Strengthening of Infrastructures in Elephant Corridor</w:t>
        </w:r>
        <w:r w:rsidR="00C03C1B">
          <w:rPr>
            <w:noProof/>
            <w:webHidden/>
          </w:rPr>
          <w:tab/>
        </w:r>
        <w:r>
          <w:rPr>
            <w:noProof/>
            <w:webHidden/>
          </w:rPr>
          <w:fldChar w:fldCharType="begin"/>
        </w:r>
        <w:r w:rsidR="00C03C1B">
          <w:rPr>
            <w:noProof/>
            <w:webHidden/>
          </w:rPr>
          <w:instrText xml:space="preserve"> PAGEREF _Toc404940162 \h </w:instrText>
        </w:r>
        <w:r>
          <w:rPr>
            <w:noProof/>
            <w:webHidden/>
          </w:rPr>
        </w:r>
        <w:r>
          <w:rPr>
            <w:noProof/>
            <w:webHidden/>
          </w:rPr>
          <w:fldChar w:fldCharType="separate"/>
        </w:r>
        <w:r w:rsidR="002F21B9">
          <w:rPr>
            <w:noProof/>
            <w:webHidden/>
          </w:rPr>
          <w:t>33</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63" w:history="1">
        <w:r w:rsidR="00C03C1B" w:rsidRPr="005A08C7">
          <w:rPr>
            <w:rStyle w:val="Hyperlink"/>
            <w:noProof/>
          </w:rPr>
          <w:t>3.8.</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Odisha Distribution Sector Strengthening Project (ODSSP)</w:t>
        </w:r>
        <w:r w:rsidR="00C03C1B">
          <w:rPr>
            <w:noProof/>
            <w:webHidden/>
          </w:rPr>
          <w:tab/>
        </w:r>
        <w:r>
          <w:rPr>
            <w:noProof/>
            <w:webHidden/>
          </w:rPr>
          <w:fldChar w:fldCharType="begin"/>
        </w:r>
        <w:r w:rsidR="00C03C1B">
          <w:rPr>
            <w:noProof/>
            <w:webHidden/>
          </w:rPr>
          <w:instrText xml:space="preserve"> PAGEREF _Toc404940163 \h </w:instrText>
        </w:r>
        <w:r>
          <w:rPr>
            <w:noProof/>
            <w:webHidden/>
          </w:rPr>
        </w:r>
        <w:r>
          <w:rPr>
            <w:noProof/>
            <w:webHidden/>
          </w:rPr>
          <w:fldChar w:fldCharType="separate"/>
        </w:r>
        <w:r w:rsidR="002F21B9">
          <w:rPr>
            <w:noProof/>
            <w:webHidden/>
          </w:rPr>
          <w:t>33</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64" w:history="1">
        <w:r w:rsidR="00C03C1B" w:rsidRPr="005A08C7">
          <w:rPr>
            <w:rStyle w:val="Hyperlink"/>
            <w:noProof/>
          </w:rPr>
          <w:t>3.9.</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Odisha Dedicated Agriculture and Fishery Feeder (ODAFF)</w:t>
        </w:r>
        <w:r w:rsidR="00C03C1B">
          <w:rPr>
            <w:noProof/>
            <w:webHidden/>
          </w:rPr>
          <w:tab/>
        </w:r>
        <w:r>
          <w:rPr>
            <w:noProof/>
            <w:webHidden/>
          </w:rPr>
          <w:fldChar w:fldCharType="begin"/>
        </w:r>
        <w:r w:rsidR="00C03C1B">
          <w:rPr>
            <w:noProof/>
            <w:webHidden/>
          </w:rPr>
          <w:instrText xml:space="preserve"> PAGEREF _Toc404940164 \h </w:instrText>
        </w:r>
        <w:r>
          <w:rPr>
            <w:noProof/>
            <w:webHidden/>
          </w:rPr>
        </w:r>
        <w:r>
          <w:rPr>
            <w:noProof/>
            <w:webHidden/>
          </w:rPr>
          <w:fldChar w:fldCharType="separate"/>
        </w:r>
        <w:r w:rsidR="002F21B9">
          <w:rPr>
            <w:noProof/>
            <w:webHidden/>
          </w:rPr>
          <w:t>34</w:t>
        </w:r>
        <w:r>
          <w:rPr>
            <w:noProof/>
            <w:webHidden/>
          </w:rPr>
          <w:fldChar w:fldCharType="end"/>
        </w:r>
      </w:hyperlink>
    </w:p>
    <w:p w:rsidR="00C03C1B" w:rsidRDefault="00291770">
      <w:pPr>
        <w:pStyle w:val="TOC1"/>
        <w:tabs>
          <w:tab w:val="left" w:pos="880"/>
          <w:tab w:val="right" w:leader="dot" w:pos="9305"/>
        </w:tabs>
        <w:rPr>
          <w:rFonts w:asciiTheme="minorHAnsi" w:eastAsiaTheme="minorEastAsia" w:hAnsiTheme="minorHAnsi" w:cstheme="minorBidi"/>
          <w:noProof/>
          <w:sz w:val="22"/>
          <w:szCs w:val="22"/>
          <w:lang w:val="en-IN" w:eastAsia="en-IN"/>
        </w:rPr>
      </w:pPr>
      <w:hyperlink w:anchor="_Toc404940165" w:history="1">
        <w:r w:rsidR="00C03C1B" w:rsidRPr="005A08C7">
          <w:rPr>
            <w:rStyle w:val="Hyperlink"/>
            <w:noProof/>
          </w:rPr>
          <w:t>3.10.</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Underground cabling</w:t>
        </w:r>
        <w:r w:rsidR="00C03C1B">
          <w:rPr>
            <w:noProof/>
            <w:webHidden/>
          </w:rPr>
          <w:tab/>
        </w:r>
        <w:r>
          <w:rPr>
            <w:noProof/>
            <w:webHidden/>
          </w:rPr>
          <w:fldChar w:fldCharType="begin"/>
        </w:r>
        <w:r w:rsidR="00C03C1B">
          <w:rPr>
            <w:noProof/>
            <w:webHidden/>
          </w:rPr>
          <w:instrText xml:space="preserve"> PAGEREF _Toc404940165 \h </w:instrText>
        </w:r>
        <w:r>
          <w:rPr>
            <w:noProof/>
            <w:webHidden/>
          </w:rPr>
        </w:r>
        <w:r>
          <w:rPr>
            <w:noProof/>
            <w:webHidden/>
          </w:rPr>
          <w:fldChar w:fldCharType="separate"/>
        </w:r>
        <w:r w:rsidR="002F21B9">
          <w:rPr>
            <w:noProof/>
            <w:webHidden/>
          </w:rPr>
          <w:t>34</w:t>
        </w:r>
        <w:r>
          <w:rPr>
            <w:noProof/>
            <w:webHidden/>
          </w:rPr>
          <w:fldChar w:fldCharType="end"/>
        </w:r>
      </w:hyperlink>
    </w:p>
    <w:p w:rsidR="00C03C1B" w:rsidRDefault="00291770">
      <w:pPr>
        <w:pStyle w:val="TOC1"/>
        <w:tabs>
          <w:tab w:val="left" w:pos="880"/>
          <w:tab w:val="right" w:leader="dot" w:pos="9305"/>
        </w:tabs>
        <w:rPr>
          <w:rFonts w:asciiTheme="minorHAnsi" w:eastAsiaTheme="minorEastAsia" w:hAnsiTheme="minorHAnsi" w:cstheme="minorBidi"/>
          <w:noProof/>
          <w:sz w:val="22"/>
          <w:szCs w:val="22"/>
          <w:lang w:val="en-IN" w:eastAsia="en-IN"/>
        </w:rPr>
      </w:pPr>
      <w:hyperlink w:anchor="_Toc404940166" w:history="1">
        <w:r w:rsidR="00C03C1B" w:rsidRPr="005A08C7">
          <w:rPr>
            <w:rStyle w:val="Hyperlink"/>
            <w:noProof/>
          </w:rPr>
          <w:t>3.11.</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New Schemes</w:t>
        </w:r>
        <w:r w:rsidR="00C03C1B">
          <w:rPr>
            <w:noProof/>
            <w:webHidden/>
          </w:rPr>
          <w:tab/>
        </w:r>
        <w:r>
          <w:rPr>
            <w:noProof/>
            <w:webHidden/>
          </w:rPr>
          <w:fldChar w:fldCharType="begin"/>
        </w:r>
        <w:r w:rsidR="00C03C1B">
          <w:rPr>
            <w:noProof/>
            <w:webHidden/>
          </w:rPr>
          <w:instrText xml:space="preserve"> PAGEREF _Toc404940166 \h </w:instrText>
        </w:r>
        <w:r>
          <w:rPr>
            <w:noProof/>
            <w:webHidden/>
          </w:rPr>
        </w:r>
        <w:r>
          <w:rPr>
            <w:noProof/>
            <w:webHidden/>
          </w:rPr>
          <w:fldChar w:fldCharType="separate"/>
        </w:r>
        <w:r w:rsidR="002F21B9">
          <w:rPr>
            <w:noProof/>
            <w:webHidden/>
          </w:rPr>
          <w:t>35</w:t>
        </w:r>
        <w:r>
          <w:rPr>
            <w:noProof/>
            <w:webHidden/>
          </w:rPr>
          <w:fldChar w:fldCharType="end"/>
        </w:r>
      </w:hyperlink>
    </w:p>
    <w:p w:rsidR="00C03C1B" w:rsidRDefault="00291770">
      <w:pPr>
        <w:pStyle w:val="TOC1"/>
        <w:tabs>
          <w:tab w:val="left" w:pos="1100"/>
          <w:tab w:val="right" w:leader="dot" w:pos="9305"/>
        </w:tabs>
        <w:rPr>
          <w:rFonts w:asciiTheme="minorHAnsi" w:eastAsiaTheme="minorEastAsia" w:hAnsiTheme="minorHAnsi" w:cstheme="minorBidi"/>
          <w:noProof/>
          <w:sz w:val="22"/>
          <w:szCs w:val="22"/>
          <w:lang w:val="en-IN" w:eastAsia="en-IN"/>
        </w:rPr>
      </w:pPr>
      <w:hyperlink w:anchor="_Toc404940167" w:history="1">
        <w:r w:rsidR="00C03C1B" w:rsidRPr="005A08C7">
          <w:rPr>
            <w:rStyle w:val="Hyperlink"/>
            <w:noProof/>
          </w:rPr>
          <w:t>3.11.1.</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RGGVY Phase – II</w:t>
        </w:r>
        <w:r w:rsidR="00C03C1B">
          <w:rPr>
            <w:noProof/>
            <w:webHidden/>
          </w:rPr>
          <w:tab/>
        </w:r>
        <w:r>
          <w:rPr>
            <w:noProof/>
            <w:webHidden/>
          </w:rPr>
          <w:fldChar w:fldCharType="begin"/>
        </w:r>
        <w:r w:rsidR="00C03C1B">
          <w:rPr>
            <w:noProof/>
            <w:webHidden/>
          </w:rPr>
          <w:instrText xml:space="preserve"> PAGEREF _Toc404940167 \h </w:instrText>
        </w:r>
        <w:r>
          <w:rPr>
            <w:noProof/>
            <w:webHidden/>
          </w:rPr>
        </w:r>
        <w:r>
          <w:rPr>
            <w:noProof/>
            <w:webHidden/>
          </w:rPr>
          <w:fldChar w:fldCharType="separate"/>
        </w:r>
        <w:r w:rsidR="002F21B9">
          <w:rPr>
            <w:noProof/>
            <w:webHidden/>
          </w:rPr>
          <w:t>35</w:t>
        </w:r>
        <w:r>
          <w:rPr>
            <w:noProof/>
            <w:webHidden/>
          </w:rPr>
          <w:fldChar w:fldCharType="end"/>
        </w:r>
      </w:hyperlink>
    </w:p>
    <w:p w:rsidR="00C03C1B" w:rsidRDefault="00291770">
      <w:pPr>
        <w:pStyle w:val="TOC1"/>
        <w:tabs>
          <w:tab w:val="left" w:pos="1100"/>
          <w:tab w:val="right" w:leader="dot" w:pos="9305"/>
        </w:tabs>
        <w:rPr>
          <w:rFonts w:asciiTheme="minorHAnsi" w:eastAsiaTheme="minorEastAsia" w:hAnsiTheme="minorHAnsi" w:cstheme="minorBidi"/>
          <w:noProof/>
          <w:sz w:val="22"/>
          <w:szCs w:val="22"/>
          <w:lang w:val="en-IN" w:eastAsia="en-IN"/>
        </w:rPr>
      </w:pPr>
      <w:hyperlink w:anchor="_Toc404940168" w:history="1">
        <w:r w:rsidR="00C03C1B" w:rsidRPr="005A08C7">
          <w:rPr>
            <w:rStyle w:val="Hyperlink"/>
            <w:noProof/>
          </w:rPr>
          <w:t>3.11.2.</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Radial to Ring Conversion Project (RRCP)</w:t>
        </w:r>
        <w:r w:rsidR="00C03C1B">
          <w:rPr>
            <w:noProof/>
            <w:webHidden/>
          </w:rPr>
          <w:tab/>
        </w:r>
        <w:r>
          <w:rPr>
            <w:noProof/>
            <w:webHidden/>
          </w:rPr>
          <w:fldChar w:fldCharType="begin"/>
        </w:r>
        <w:r w:rsidR="00C03C1B">
          <w:rPr>
            <w:noProof/>
            <w:webHidden/>
          </w:rPr>
          <w:instrText xml:space="preserve"> PAGEREF _Toc404940168 \h </w:instrText>
        </w:r>
        <w:r>
          <w:rPr>
            <w:noProof/>
            <w:webHidden/>
          </w:rPr>
        </w:r>
        <w:r>
          <w:rPr>
            <w:noProof/>
            <w:webHidden/>
          </w:rPr>
          <w:fldChar w:fldCharType="separate"/>
        </w:r>
        <w:r w:rsidR="002F21B9">
          <w:rPr>
            <w:noProof/>
            <w:webHidden/>
          </w:rPr>
          <w:t>36</w:t>
        </w:r>
        <w:r>
          <w:rPr>
            <w:noProof/>
            <w:webHidden/>
          </w:rPr>
          <w:fldChar w:fldCharType="end"/>
        </w:r>
      </w:hyperlink>
    </w:p>
    <w:p w:rsidR="00C03C1B" w:rsidRDefault="00291770">
      <w:pPr>
        <w:pStyle w:val="TOC1"/>
        <w:tabs>
          <w:tab w:val="left" w:pos="1100"/>
          <w:tab w:val="right" w:leader="dot" w:pos="9305"/>
        </w:tabs>
        <w:rPr>
          <w:rFonts w:asciiTheme="minorHAnsi" w:eastAsiaTheme="minorEastAsia" w:hAnsiTheme="minorHAnsi" w:cstheme="minorBidi"/>
          <w:noProof/>
          <w:sz w:val="22"/>
          <w:szCs w:val="22"/>
          <w:lang w:val="en-IN" w:eastAsia="en-IN"/>
        </w:rPr>
      </w:pPr>
      <w:hyperlink w:anchor="_Toc404940169" w:history="1">
        <w:r w:rsidR="00C03C1B" w:rsidRPr="005A08C7">
          <w:rPr>
            <w:rStyle w:val="Hyperlink"/>
            <w:noProof/>
          </w:rPr>
          <w:t>3.11.3.</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Reliability Enhancement of Power Supply to District Headquarter - DHQ Scheme</w:t>
        </w:r>
        <w:r w:rsidR="00C03C1B">
          <w:rPr>
            <w:noProof/>
            <w:webHidden/>
          </w:rPr>
          <w:tab/>
        </w:r>
        <w:r>
          <w:rPr>
            <w:noProof/>
            <w:webHidden/>
          </w:rPr>
          <w:fldChar w:fldCharType="begin"/>
        </w:r>
        <w:r w:rsidR="00C03C1B">
          <w:rPr>
            <w:noProof/>
            <w:webHidden/>
          </w:rPr>
          <w:instrText xml:space="preserve"> PAGEREF _Toc404940169 \h </w:instrText>
        </w:r>
        <w:r>
          <w:rPr>
            <w:noProof/>
            <w:webHidden/>
          </w:rPr>
        </w:r>
        <w:r>
          <w:rPr>
            <w:noProof/>
            <w:webHidden/>
          </w:rPr>
          <w:fldChar w:fldCharType="separate"/>
        </w:r>
        <w:r w:rsidR="002F21B9">
          <w:rPr>
            <w:noProof/>
            <w:webHidden/>
          </w:rPr>
          <w:t>37</w:t>
        </w:r>
        <w:r>
          <w:rPr>
            <w:noProof/>
            <w:webHidden/>
          </w:rPr>
          <w:fldChar w:fldCharType="end"/>
        </w:r>
      </w:hyperlink>
    </w:p>
    <w:p w:rsidR="00C03C1B" w:rsidRDefault="00291770">
      <w:pPr>
        <w:pStyle w:val="TOC1"/>
        <w:tabs>
          <w:tab w:val="left" w:pos="1100"/>
          <w:tab w:val="right" w:leader="dot" w:pos="9305"/>
        </w:tabs>
        <w:rPr>
          <w:rFonts w:asciiTheme="minorHAnsi" w:eastAsiaTheme="minorEastAsia" w:hAnsiTheme="minorHAnsi" w:cstheme="minorBidi"/>
          <w:noProof/>
          <w:sz w:val="22"/>
          <w:szCs w:val="22"/>
          <w:lang w:val="en-IN" w:eastAsia="en-IN"/>
        </w:rPr>
      </w:pPr>
      <w:hyperlink w:anchor="_Toc404940170" w:history="1">
        <w:r w:rsidR="00C03C1B" w:rsidRPr="005A08C7">
          <w:rPr>
            <w:rStyle w:val="Hyperlink"/>
            <w:noProof/>
          </w:rPr>
          <w:t>3.11.4.</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Disaster Response Centers (DRC)</w:t>
        </w:r>
        <w:r w:rsidR="00C03C1B">
          <w:rPr>
            <w:noProof/>
            <w:webHidden/>
          </w:rPr>
          <w:tab/>
        </w:r>
        <w:r>
          <w:rPr>
            <w:noProof/>
            <w:webHidden/>
          </w:rPr>
          <w:fldChar w:fldCharType="begin"/>
        </w:r>
        <w:r w:rsidR="00C03C1B">
          <w:rPr>
            <w:noProof/>
            <w:webHidden/>
          </w:rPr>
          <w:instrText xml:space="preserve"> PAGEREF _Toc404940170 \h </w:instrText>
        </w:r>
        <w:r>
          <w:rPr>
            <w:noProof/>
            <w:webHidden/>
          </w:rPr>
        </w:r>
        <w:r>
          <w:rPr>
            <w:noProof/>
            <w:webHidden/>
          </w:rPr>
          <w:fldChar w:fldCharType="separate"/>
        </w:r>
        <w:r w:rsidR="002F21B9">
          <w:rPr>
            <w:noProof/>
            <w:webHidden/>
          </w:rPr>
          <w:t>37</w:t>
        </w:r>
        <w:r>
          <w:rPr>
            <w:noProof/>
            <w:webHidden/>
          </w:rPr>
          <w:fldChar w:fldCharType="end"/>
        </w:r>
      </w:hyperlink>
    </w:p>
    <w:p w:rsidR="00C03C1B" w:rsidRDefault="00291770">
      <w:pPr>
        <w:pStyle w:val="TOC1"/>
        <w:tabs>
          <w:tab w:val="left" w:pos="1100"/>
          <w:tab w:val="right" w:leader="dot" w:pos="9305"/>
        </w:tabs>
        <w:rPr>
          <w:rFonts w:asciiTheme="minorHAnsi" w:eastAsiaTheme="minorEastAsia" w:hAnsiTheme="minorHAnsi" w:cstheme="minorBidi"/>
          <w:noProof/>
          <w:sz w:val="22"/>
          <w:szCs w:val="22"/>
          <w:lang w:val="en-IN" w:eastAsia="en-IN"/>
        </w:rPr>
      </w:pPr>
      <w:hyperlink w:anchor="_Toc404940171" w:history="1">
        <w:r w:rsidR="00C03C1B" w:rsidRPr="005A08C7">
          <w:rPr>
            <w:rStyle w:val="Hyperlink"/>
            <w:noProof/>
          </w:rPr>
          <w:t>3.11.5.</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Smart GRID Project</w:t>
        </w:r>
        <w:r w:rsidR="00C03C1B">
          <w:rPr>
            <w:noProof/>
            <w:webHidden/>
          </w:rPr>
          <w:tab/>
        </w:r>
        <w:r>
          <w:rPr>
            <w:noProof/>
            <w:webHidden/>
          </w:rPr>
          <w:fldChar w:fldCharType="begin"/>
        </w:r>
        <w:r w:rsidR="00C03C1B">
          <w:rPr>
            <w:noProof/>
            <w:webHidden/>
          </w:rPr>
          <w:instrText xml:space="preserve"> PAGEREF _Toc404940171 \h </w:instrText>
        </w:r>
        <w:r>
          <w:rPr>
            <w:noProof/>
            <w:webHidden/>
          </w:rPr>
        </w:r>
        <w:r>
          <w:rPr>
            <w:noProof/>
            <w:webHidden/>
          </w:rPr>
          <w:fldChar w:fldCharType="separate"/>
        </w:r>
        <w:r w:rsidR="002F21B9">
          <w:rPr>
            <w:noProof/>
            <w:webHidden/>
          </w:rPr>
          <w:t>38</w:t>
        </w:r>
        <w:r>
          <w:rPr>
            <w:noProof/>
            <w:webHidden/>
          </w:rPr>
          <w:fldChar w:fldCharType="end"/>
        </w:r>
      </w:hyperlink>
    </w:p>
    <w:p w:rsidR="00C03C1B" w:rsidRDefault="00291770">
      <w:pPr>
        <w:pStyle w:val="TOC1"/>
        <w:tabs>
          <w:tab w:val="left" w:pos="1100"/>
          <w:tab w:val="right" w:leader="dot" w:pos="9305"/>
        </w:tabs>
        <w:rPr>
          <w:rFonts w:asciiTheme="minorHAnsi" w:eastAsiaTheme="minorEastAsia" w:hAnsiTheme="minorHAnsi" w:cstheme="minorBidi"/>
          <w:noProof/>
          <w:sz w:val="22"/>
          <w:szCs w:val="22"/>
          <w:lang w:val="en-IN" w:eastAsia="en-IN"/>
        </w:rPr>
      </w:pPr>
      <w:hyperlink w:anchor="_Toc404940172" w:history="1">
        <w:r w:rsidR="00C03C1B" w:rsidRPr="005A08C7">
          <w:rPr>
            <w:rStyle w:val="Hyperlink"/>
            <w:noProof/>
          </w:rPr>
          <w:t>3.11.6.</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Disaster Resilient HT System – in 60 Kms area from Seacoast</w:t>
        </w:r>
        <w:r w:rsidR="00C03C1B">
          <w:rPr>
            <w:noProof/>
            <w:webHidden/>
          </w:rPr>
          <w:tab/>
        </w:r>
        <w:r>
          <w:rPr>
            <w:noProof/>
            <w:webHidden/>
          </w:rPr>
          <w:fldChar w:fldCharType="begin"/>
        </w:r>
        <w:r w:rsidR="00C03C1B">
          <w:rPr>
            <w:noProof/>
            <w:webHidden/>
          </w:rPr>
          <w:instrText xml:space="preserve"> PAGEREF _Toc404940172 \h </w:instrText>
        </w:r>
        <w:r>
          <w:rPr>
            <w:noProof/>
            <w:webHidden/>
          </w:rPr>
        </w:r>
        <w:r>
          <w:rPr>
            <w:noProof/>
            <w:webHidden/>
          </w:rPr>
          <w:fldChar w:fldCharType="separate"/>
        </w:r>
        <w:r w:rsidR="002F21B9">
          <w:rPr>
            <w:noProof/>
            <w:webHidden/>
          </w:rPr>
          <w:t>38</w:t>
        </w:r>
        <w:r>
          <w:rPr>
            <w:noProof/>
            <w:webHidden/>
          </w:rPr>
          <w:fldChar w:fldCharType="end"/>
        </w:r>
      </w:hyperlink>
    </w:p>
    <w:p w:rsidR="00C03C1B" w:rsidRDefault="00291770">
      <w:pPr>
        <w:pStyle w:val="TOC1"/>
        <w:tabs>
          <w:tab w:val="left" w:pos="880"/>
          <w:tab w:val="right" w:leader="dot" w:pos="9305"/>
        </w:tabs>
        <w:rPr>
          <w:rFonts w:asciiTheme="minorHAnsi" w:eastAsiaTheme="minorEastAsia" w:hAnsiTheme="minorHAnsi" w:cstheme="minorBidi"/>
          <w:noProof/>
          <w:sz w:val="22"/>
          <w:szCs w:val="22"/>
          <w:lang w:val="en-IN" w:eastAsia="en-IN"/>
        </w:rPr>
      </w:pPr>
      <w:hyperlink w:anchor="_Toc404940173" w:history="1">
        <w:r w:rsidR="00C03C1B" w:rsidRPr="005A08C7">
          <w:rPr>
            <w:rStyle w:val="Hyperlink"/>
            <w:noProof/>
          </w:rPr>
          <w:t>3.12.</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External Borrowings – ADB Project (Distribution)</w:t>
        </w:r>
        <w:r w:rsidR="00C03C1B">
          <w:rPr>
            <w:noProof/>
            <w:webHidden/>
          </w:rPr>
          <w:tab/>
        </w:r>
        <w:r>
          <w:rPr>
            <w:noProof/>
            <w:webHidden/>
          </w:rPr>
          <w:fldChar w:fldCharType="begin"/>
        </w:r>
        <w:r w:rsidR="00C03C1B">
          <w:rPr>
            <w:noProof/>
            <w:webHidden/>
          </w:rPr>
          <w:instrText xml:space="preserve"> PAGEREF _Toc404940173 \h </w:instrText>
        </w:r>
        <w:r>
          <w:rPr>
            <w:noProof/>
            <w:webHidden/>
          </w:rPr>
        </w:r>
        <w:r>
          <w:rPr>
            <w:noProof/>
            <w:webHidden/>
          </w:rPr>
          <w:fldChar w:fldCharType="separate"/>
        </w:r>
        <w:r w:rsidR="002F21B9">
          <w:rPr>
            <w:noProof/>
            <w:webHidden/>
          </w:rPr>
          <w:t>40</w:t>
        </w:r>
        <w:r>
          <w:rPr>
            <w:noProof/>
            <w:webHidden/>
          </w:rPr>
          <w:fldChar w:fldCharType="end"/>
        </w:r>
      </w:hyperlink>
    </w:p>
    <w:p w:rsidR="00C03C1B" w:rsidRDefault="00291770">
      <w:pPr>
        <w:pStyle w:val="TOC1"/>
        <w:tabs>
          <w:tab w:val="left" w:pos="1100"/>
          <w:tab w:val="right" w:leader="dot" w:pos="9305"/>
        </w:tabs>
        <w:rPr>
          <w:rFonts w:asciiTheme="minorHAnsi" w:eastAsiaTheme="minorEastAsia" w:hAnsiTheme="minorHAnsi" w:cstheme="minorBidi"/>
          <w:noProof/>
          <w:sz w:val="22"/>
          <w:szCs w:val="22"/>
          <w:lang w:val="en-IN" w:eastAsia="en-IN"/>
        </w:rPr>
      </w:pPr>
      <w:hyperlink w:anchor="_Toc404940174" w:history="1">
        <w:r w:rsidR="00C03C1B" w:rsidRPr="005A08C7">
          <w:rPr>
            <w:rStyle w:val="Hyperlink"/>
            <w:noProof/>
          </w:rPr>
          <w:t>3.12.1.</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Odisha Power System Emergency Assistance Project (OPSEAP) – Distribution</w:t>
        </w:r>
        <w:r w:rsidR="00C03C1B">
          <w:rPr>
            <w:noProof/>
            <w:webHidden/>
          </w:rPr>
          <w:tab/>
        </w:r>
        <w:r>
          <w:rPr>
            <w:noProof/>
            <w:webHidden/>
          </w:rPr>
          <w:fldChar w:fldCharType="begin"/>
        </w:r>
        <w:r w:rsidR="00C03C1B">
          <w:rPr>
            <w:noProof/>
            <w:webHidden/>
          </w:rPr>
          <w:instrText xml:space="preserve"> PAGEREF _Toc404940174 \h </w:instrText>
        </w:r>
        <w:r>
          <w:rPr>
            <w:noProof/>
            <w:webHidden/>
          </w:rPr>
        </w:r>
        <w:r>
          <w:rPr>
            <w:noProof/>
            <w:webHidden/>
          </w:rPr>
          <w:fldChar w:fldCharType="separate"/>
        </w:r>
        <w:r w:rsidR="002F21B9">
          <w:rPr>
            <w:noProof/>
            <w:webHidden/>
          </w:rPr>
          <w:t>40</w:t>
        </w:r>
        <w:r>
          <w:rPr>
            <w:noProof/>
            <w:webHidden/>
          </w:rPr>
          <w:fldChar w:fldCharType="end"/>
        </w:r>
      </w:hyperlink>
    </w:p>
    <w:p w:rsidR="00C03C1B" w:rsidRDefault="00291770">
      <w:pPr>
        <w:pStyle w:val="TOC1"/>
        <w:tabs>
          <w:tab w:val="left" w:pos="480"/>
          <w:tab w:val="right" w:leader="dot" w:pos="9305"/>
        </w:tabs>
        <w:rPr>
          <w:rFonts w:asciiTheme="minorHAnsi" w:eastAsiaTheme="minorEastAsia" w:hAnsiTheme="minorHAnsi" w:cstheme="minorBidi"/>
          <w:noProof/>
          <w:sz w:val="22"/>
          <w:szCs w:val="22"/>
          <w:lang w:val="en-IN" w:eastAsia="en-IN"/>
        </w:rPr>
      </w:pPr>
      <w:hyperlink w:anchor="_Toc404940175" w:history="1">
        <w:r w:rsidR="00C03C1B" w:rsidRPr="005A08C7">
          <w:rPr>
            <w:rStyle w:val="Hyperlink"/>
            <w:noProof/>
          </w:rPr>
          <w:t>4.</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Truing up of ARR and creation of Regulatory Assets</w:t>
        </w:r>
        <w:r w:rsidR="00C03C1B">
          <w:rPr>
            <w:noProof/>
            <w:webHidden/>
          </w:rPr>
          <w:tab/>
        </w:r>
        <w:r>
          <w:rPr>
            <w:noProof/>
            <w:webHidden/>
          </w:rPr>
          <w:fldChar w:fldCharType="begin"/>
        </w:r>
        <w:r w:rsidR="00C03C1B">
          <w:rPr>
            <w:noProof/>
            <w:webHidden/>
          </w:rPr>
          <w:instrText xml:space="preserve"> PAGEREF _Toc404940175 \h </w:instrText>
        </w:r>
        <w:r>
          <w:rPr>
            <w:noProof/>
            <w:webHidden/>
          </w:rPr>
        </w:r>
        <w:r>
          <w:rPr>
            <w:noProof/>
            <w:webHidden/>
          </w:rPr>
          <w:fldChar w:fldCharType="separate"/>
        </w:r>
        <w:r w:rsidR="002F21B9">
          <w:rPr>
            <w:noProof/>
            <w:webHidden/>
          </w:rPr>
          <w:t>41</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76" w:history="1">
        <w:r w:rsidR="00C03C1B" w:rsidRPr="005A08C7">
          <w:rPr>
            <w:rStyle w:val="Hyperlink"/>
            <w:noProof/>
          </w:rPr>
          <w:t>4.1.</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Non Tariff Income</w:t>
        </w:r>
        <w:r w:rsidR="00C03C1B">
          <w:rPr>
            <w:noProof/>
            <w:webHidden/>
          </w:rPr>
          <w:tab/>
        </w:r>
        <w:r>
          <w:rPr>
            <w:noProof/>
            <w:webHidden/>
          </w:rPr>
          <w:fldChar w:fldCharType="begin"/>
        </w:r>
        <w:r w:rsidR="00C03C1B">
          <w:rPr>
            <w:noProof/>
            <w:webHidden/>
          </w:rPr>
          <w:instrText xml:space="preserve"> PAGEREF _Toc404940176 \h </w:instrText>
        </w:r>
        <w:r>
          <w:rPr>
            <w:noProof/>
            <w:webHidden/>
          </w:rPr>
        </w:r>
        <w:r>
          <w:rPr>
            <w:noProof/>
            <w:webHidden/>
          </w:rPr>
          <w:fldChar w:fldCharType="separate"/>
        </w:r>
        <w:r w:rsidR="002F21B9">
          <w:rPr>
            <w:noProof/>
            <w:webHidden/>
          </w:rPr>
          <w:t>41</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77" w:history="1">
        <w:r w:rsidR="00C03C1B" w:rsidRPr="005A08C7">
          <w:rPr>
            <w:rStyle w:val="Hyperlink"/>
            <w:noProof/>
          </w:rPr>
          <w:t>4.2.</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Provision for Contingency Reserve</w:t>
        </w:r>
        <w:r w:rsidR="00C03C1B">
          <w:rPr>
            <w:noProof/>
            <w:webHidden/>
          </w:rPr>
          <w:tab/>
        </w:r>
        <w:r>
          <w:rPr>
            <w:noProof/>
            <w:webHidden/>
          </w:rPr>
          <w:fldChar w:fldCharType="begin"/>
        </w:r>
        <w:r w:rsidR="00C03C1B">
          <w:rPr>
            <w:noProof/>
            <w:webHidden/>
          </w:rPr>
          <w:instrText xml:space="preserve"> PAGEREF _Toc404940177 \h </w:instrText>
        </w:r>
        <w:r>
          <w:rPr>
            <w:noProof/>
            <w:webHidden/>
          </w:rPr>
        </w:r>
        <w:r>
          <w:rPr>
            <w:noProof/>
            <w:webHidden/>
          </w:rPr>
          <w:fldChar w:fldCharType="separate"/>
        </w:r>
        <w:r w:rsidR="002F21B9">
          <w:rPr>
            <w:noProof/>
            <w:webHidden/>
          </w:rPr>
          <w:t>41</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78" w:history="1">
        <w:r w:rsidR="00C03C1B" w:rsidRPr="005A08C7">
          <w:rPr>
            <w:rStyle w:val="Hyperlink"/>
            <w:noProof/>
          </w:rPr>
          <w:t>4.3.</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Reasonable Return</w:t>
        </w:r>
        <w:r w:rsidR="00C03C1B">
          <w:rPr>
            <w:noProof/>
            <w:webHidden/>
          </w:rPr>
          <w:tab/>
        </w:r>
        <w:r>
          <w:rPr>
            <w:noProof/>
            <w:webHidden/>
          </w:rPr>
          <w:fldChar w:fldCharType="begin"/>
        </w:r>
        <w:r w:rsidR="00C03C1B">
          <w:rPr>
            <w:noProof/>
            <w:webHidden/>
          </w:rPr>
          <w:instrText xml:space="preserve"> PAGEREF _Toc404940178 \h </w:instrText>
        </w:r>
        <w:r>
          <w:rPr>
            <w:noProof/>
            <w:webHidden/>
          </w:rPr>
        </w:r>
        <w:r>
          <w:rPr>
            <w:noProof/>
            <w:webHidden/>
          </w:rPr>
          <w:fldChar w:fldCharType="separate"/>
        </w:r>
        <w:r w:rsidR="002F21B9">
          <w:rPr>
            <w:noProof/>
            <w:webHidden/>
          </w:rPr>
          <w:t>42</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79" w:history="1">
        <w:r w:rsidR="00C03C1B" w:rsidRPr="005A08C7">
          <w:rPr>
            <w:rStyle w:val="Hyperlink"/>
            <w:noProof/>
          </w:rPr>
          <w:t>4.4.</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Truing up of ARR of NESCO as per ATE Order-3rd July 2013</w:t>
        </w:r>
        <w:r w:rsidR="00C03C1B">
          <w:rPr>
            <w:noProof/>
            <w:webHidden/>
          </w:rPr>
          <w:tab/>
        </w:r>
        <w:r>
          <w:rPr>
            <w:noProof/>
            <w:webHidden/>
          </w:rPr>
          <w:fldChar w:fldCharType="begin"/>
        </w:r>
        <w:r w:rsidR="00C03C1B">
          <w:rPr>
            <w:noProof/>
            <w:webHidden/>
          </w:rPr>
          <w:instrText xml:space="preserve"> PAGEREF _Toc404940179 \h </w:instrText>
        </w:r>
        <w:r>
          <w:rPr>
            <w:noProof/>
            <w:webHidden/>
          </w:rPr>
        </w:r>
        <w:r>
          <w:rPr>
            <w:noProof/>
            <w:webHidden/>
          </w:rPr>
          <w:fldChar w:fldCharType="separate"/>
        </w:r>
        <w:r w:rsidR="002F21B9">
          <w:rPr>
            <w:noProof/>
            <w:webHidden/>
          </w:rPr>
          <w:t>42</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80" w:history="1">
        <w:r w:rsidR="00C03C1B" w:rsidRPr="005A08C7">
          <w:rPr>
            <w:rStyle w:val="Hyperlink"/>
            <w:rFonts w:ascii="Cambria" w:hAnsi="Cambria"/>
            <w:noProof/>
          </w:rPr>
          <w:t>4.5.</w:t>
        </w:r>
        <w:r w:rsidR="00C03C1B">
          <w:rPr>
            <w:rFonts w:asciiTheme="minorHAnsi" w:eastAsiaTheme="minorEastAsia" w:hAnsiTheme="minorHAnsi" w:cstheme="minorBidi"/>
            <w:noProof/>
            <w:sz w:val="22"/>
            <w:szCs w:val="22"/>
            <w:lang w:val="en-IN" w:eastAsia="en-IN"/>
          </w:rPr>
          <w:tab/>
        </w:r>
        <w:r w:rsidR="00C03C1B" w:rsidRPr="005A08C7">
          <w:rPr>
            <w:rStyle w:val="Hyperlink"/>
            <w:rFonts w:ascii="Cambria" w:hAnsi="Cambria"/>
            <w:noProof/>
          </w:rPr>
          <w:t>TRUING UP FOR FY 2013-14</w:t>
        </w:r>
        <w:r w:rsidR="00C03C1B">
          <w:rPr>
            <w:noProof/>
            <w:webHidden/>
          </w:rPr>
          <w:tab/>
        </w:r>
        <w:r>
          <w:rPr>
            <w:noProof/>
            <w:webHidden/>
          </w:rPr>
          <w:fldChar w:fldCharType="begin"/>
        </w:r>
        <w:r w:rsidR="00C03C1B">
          <w:rPr>
            <w:noProof/>
            <w:webHidden/>
          </w:rPr>
          <w:instrText xml:space="preserve"> PAGEREF _Toc404940180 \h </w:instrText>
        </w:r>
        <w:r>
          <w:rPr>
            <w:noProof/>
            <w:webHidden/>
          </w:rPr>
        </w:r>
        <w:r>
          <w:rPr>
            <w:noProof/>
            <w:webHidden/>
          </w:rPr>
          <w:fldChar w:fldCharType="separate"/>
        </w:r>
        <w:r w:rsidR="002F21B9">
          <w:rPr>
            <w:noProof/>
            <w:webHidden/>
          </w:rPr>
          <w:t>43</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81" w:history="1">
        <w:r w:rsidR="00C03C1B" w:rsidRPr="005A08C7">
          <w:rPr>
            <w:rStyle w:val="Hyperlink"/>
            <w:noProof/>
          </w:rPr>
          <w:t>4.6.</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TRUING UP FOR FY 2014-15</w:t>
        </w:r>
        <w:r w:rsidR="00C03C1B">
          <w:rPr>
            <w:noProof/>
            <w:webHidden/>
          </w:rPr>
          <w:tab/>
        </w:r>
        <w:r>
          <w:rPr>
            <w:noProof/>
            <w:webHidden/>
          </w:rPr>
          <w:fldChar w:fldCharType="begin"/>
        </w:r>
        <w:r w:rsidR="00C03C1B">
          <w:rPr>
            <w:noProof/>
            <w:webHidden/>
          </w:rPr>
          <w:instrText xml:space="preserve"> PAGEREF _Toc404940181 \h </w:instrText>
        </w:r>
        <w:r>
          <w:rPr>
            <w:noProof/>
            <w:webHidden/>
          </w:rPr>
        </w:r>
        <w:r>
          <w:rPr>
            <w:noProof/>
            <w:webHidden/>
          </w:rPr>
          <w:fldChar w:fldCharType="separate"/>
        </w:r>
        <w:r w:rsidR="002F21B9">
          <w:rPr>
            <w:noProof/>
            <w:webHidden/>
          </w:rPr>
          <w:t>44</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82" w:history="1">
        <w:r w:rsidR="00C03C1B" w:rsidRPr="005A08C7">
          <w:rPr>
            <w:rStyle w:val="Hyperlink"/>
            <w:rFonts w:ascii="Cambria" w:hAnsi="Cambria"/>
            <w:noProof/>
          </w:rPr>
          <w:t>4.7.</w:t>
        </w:r>
        <w:r w:rsidR="00C03C1B">
          <w:rPr>
            <w:rFonts w:asciiTheme="minorHAnsi" w:eastAsiaTheme="minorEastAsia" w:hAnsiTheme="minorHAnsi" w:cstheme="minorBidi"/>
            <w:noProof/>
            <w:sz w:val="22"/>
            <w:szCs w:val="22"/>
            <w:lang w:val="en-IN" w:eastAsia="en-IN"/>
          </w:rPr>
          <w:tab/>
        </w:r>
        <w:r w:rsidR="00C03C1B" w:rsidRPr="005A08C7">
          <w:rPr>
            <w:rStyle w:val="Hyperlink"/>
            <w:rFonts w:ascii="Cambria" w:hAnsi="Cambria"/>
            <w:noProof/>
          </w:rPr>
          <w:t>Amortisation of Regulatory Asset</w:t>
        </w:r>
        <w:r w:rsidR="00C03C1B">
          <w:rPr>
            <w:noProof/>
            <w:webHidden/>
          </w:rPr>
          <w:tab/>
        </w:r>
        <w:r>
          <w:rPr>
            <w:noProof/>
            <w:webHidden/>
          </w:rPr>
          <w:fldChar w:fldCharType="begin"/>
        </w:r>
        <w:r w:rsidR="00C03C1B">
          <w:rPr>
            <w:noProof/>
            <w:webHidden/>
          </w:rPr>
          <w:instrText xml:space="preserve"> PAGEREF _Toc404940182 \h </w:instrText>
        </w:r>
        <w:r>
          <w:rPr>
            <w:noProof/>
            <w:webHidden/>
          </w:rPr>
        </w:r>
        <w:r>
          <w:rPr>
            <w:noProof/>
            <w:webHidden/>
          </w:rPr>
          <w:fldChar w:fldCharType="separate"/>
        </w:r>
        <w:r w:rsidR="002F21B9">
          <w:rPr>
            <w:noProof/>
            <w:webHidden/>
          </w:rPr>
          <w:t>45</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85" w:history="1">
        <w:r w:rsidR="00C03C1B" w:rsidRPr="005A08C7">
          <w:rPr>
            <w:rStyle w:val="Hyperlink"/>
            <w:noProof/>
          </w:rPr>
          <w:t>4.8.</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Revenue at Existing Tariffs</w:t>
        </w:r>
        <w:r w:rsidR="00C03C1B">
          <w:rPr>
            <w:noProof/>
            <w:webHidden/>
          </w:rPr>
          <w:tab/>
        </w:r>
        <w:r>
          <w:rPr>
            <w:noProof/>
            <w:webHidden/>
          </w:rPr>
          <w:fldChar w:fldCharType="begin"/>
        </w:r>
        <w:r w:rsidR="00C03C1B">
          <w:rPr>
            <w:noProof/>
            <w:webHidden/>
          </w:rPr>
          <w:instrText xml:space="preserve"> PAGEREF _Toc404940185 \h </w:instrText>
        </w:r>
        <w:r>
          <w:rPr>
            <w:noProof/>
            <w:webHidden/>
          </w:rPr>
        </w:r>
        <w:r>
          <w:rPr>
            <w:noProof/>
            <w:webHidden/>
          </w:rPr>
          <w:fldChar w:fldCharType="separate"/>
        </w:r>
        <w:r w:rsidR="002F21B9">
          <w:rPr>
            <w:noProof/>
            <w:webHidden/>
          </w:rPr>
          <w:t>46</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86" w:history="1">
        <w:r w:rsidR="00C03C1B" w:rsidRPr="005A08C7">
          <w:rPr>
            <w:rStyle w:val="Hyperlink"/>
            <w:noProof/>
          </w:rPr>
          <w:t>4.9.</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Summary of Annual Revenue Requirement and Revenue Gap</w:t>
        </w:r>
        <w:r w:rsidR="00C03C1B">
          <w:rPr>
            <w:noProof/>
            <w:webHidden/>
          </w:rPr>
          <w:tab/>
        </w:r>
        <w:r>
          <w:rPr>
            <w:noProof/>
            <w:webHidden/>
          </w:rPr>
          <w:fldChar w:fldCharType="begin"/>
        </w:r>
        <w:r w:rsidR="00C03C1B">
          <w:rPr>
            <w:noProof/>
            <w:webHidden/>
          </w:rPr>
          <w:instrText xml:space="preserve"> PAGEREF _Toc404940186 \h </w:instrText>
        </w:r>
        <w:r>
          <w:rPr>
            <w:noProof/>
            <w:webHidden/>
          </w:rPr>
        </w:r>
        <w:r>
          <w:rPr>
            <w:noProof/>
            <w:webHidden/>
          </w:rPr>
          <w:fldChar w:fldCharType="separate"/>
        </w:r>
        <w:r w:rsidR="002F21B9">
          <w:rPr>
            <w:noProof/>
            <w:webHidden/>
          </w:rPr>
          <w:t>47</w:t>
        </w:r>
        <w:r>
          <w:rPr>
            <w:noProof/>
            <w:webHidden/>
          </w:rPr>
          <w:fldChar w:fldCharType="end"/>
        </w:r>
      </w:hyperlink>
    </w:p>
    <w:p w:rsidR="00C03C1B" w:rsidRDefault="00291770">
      <w:pPr>
        <w:pStyle w:val="TOC1"/>
        <w:tabs>
          <w:tab w:val="left" w:pos="480"/>
          <w:tab w:val="right" w:leader="dot" w:pos="9305"/>
        </w:tabs>
        <w:rPr>
          <w:rFonts w:asciiTheme="minorHAnsi" w:eastAsiaTheme="minorEastAsia" w:hAnsiTheme="minorHAnsi" w:cstheme="minorBidi"/>
          <w:noProof/>
          <w:sz w:val="22"/>
          <w:szCs w:val="22"/>
          <w:lang w:val="en-IN" w:eastAsia="en-IN"/>
        </w:rPr>
      </w:pPr>
      <w:hyperlink w:anchor="_Toc404940187" w:history="1">
        <w:r w:rsidR="00C03C1B" w:rsidRPr="005A08C7">
          <w:rPr>
            <w:rStyle w:val="Hyperlink"/>
            <w:noProof/>
          </w:rPr>
          <w:t>5.</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Initiatives by Discom</w:t>
        </w:r>
        <w:r w:rsidR="00C03C1B">
          <w:rPr>
            <w:noProof/>
            <w:webHidden/>
          </w:rPr>
          <w:tab/>
        </w:r>
        <w:r>
          <w:rPr>
            <w:noProof/>
            <w:webHidden/>
          </w:rPr>
          <w:fldChar w:fldCharType="begin"/>
        </w:r>
        <w:r w:rsidR="00C03C1B">
          <w:rPr>
            <w:noProof/>
            <w:webHidden/>
          </w:rPr>
          <w:instrText xml:space="preserve"> PAGEREF _Toc404940187 \h </w:instrText>
        </w:r>
        <w:r>
          <w:rPr>
            <w:noProof/>
            <w:webHidden/>
          </w:rPr>
        </w:r>
        <w:r>
          <w:rPr>
            <w:noProof/>
            <w:webHidden/>
          </w:rPr>
          <w:fldChar w:fldCharType="separate"/>
        </w:r>
        <w:r w:rsidR="002F21B9">
          <w:rPr>
            <w:noProof/>
            <w:webHidden/>
          </w:rPr>
          <w:t>47</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88" w:history="1">
        <w:r w:rsidR="00C03C1B" w:rsidRPr="005A08C7">
          <w:rPr>
            <w:rStyle w:val="Hyperlink"/>
            <w:noProof/>
          </w:rPr>
          <w:t>5.2</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Past Performance and Initiatives by Discom</w:t>
        </w:r>
        <w:r w:rsidR="00C03C1B">
          <w:rPr>
            <w:noProof/>
            <w:webHidden/>
          </w:rPr>
          <w:tab/>
        </w:r>
        <w:r>
          <w:rPr>
            <w:noProof/>
            <w:webHidden/>
          </w:rPr>
          <w:fldChar w:fldCharType="begin"/>
        </w:r>
        <w:r w:rsidR="00C03C1B">
          <w:rPr>
            <w:noProof/>
            <w:webHidden/>
          </w:rPr>
          <w:instrText xml:space="preserve"> PAGEREF _Toc404940188 \h </w:instrText>
        </w:r>
        <w:r>
          <w:rPr>
            <w:noProof/>
            <w:webHidden/>
          </w:rPr>
        </w:r>
        <w:r>
          <w:rPr>
            <w:noProof/>
            <w:webHidden/>
          </w:rPr>
          <w:fldChar w:fldCharType="separate"/>
        </w:r>
        <w:r w:rsidR="002F21B9">
          <w:rPr>
            <w:noProof/>
            <w:webHidden/>
          </w:rPr>
          <w:t>51</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89" w:history="1">
        <w:r w:rsidR="00C03C1B" w:rsidRPr="005A08C7">
          <w:rPr>
            <w:rStyle w:val="Hyperlink"/>
            <w:noProof/>
          </w:rPr>
          <w:t>5.3</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Development of Franchisee in Licensee Area</w:t>
        </w:r>
        <w:r w:rsidR="00C03C1B">
          <w:rPr>
            <w:noProof/>
            <w:webHidden/>
          </w:rPr>
          <w:tab/>
        </w:r>
        <w:r>
          <w:rPr>
            <w:noProof/>
            <w:webHidden/>
          </w:rPr>
          <w:fldChar w:fldCharType="begin"/>
        </w:r>
        <w:r w:rsidR="00C03C1B">
          <w:rPr>
            <w:noProof/>
            <w:webHidden/>
          </w:rPr>
          <w:instrText xml:space="preserve"> PAGEREF _Toc404940189 \h </w:instrText>
        </w:r>
        <w:r>
          <w:rPr>
            <w:noProof/>
            <w:webHidden/>
          </w:rPr>
        </w:r>
        <w:r>
          <w:rPr>
            <w:noProof/>
            <w:webHidden/>
          </w:rPr>
          <w:fldChar w:fldCharType="separate"/>
        </w:r>
        <w:r w:rsidR="002F21B9">
          <w:rPr>
            <w:noProof/>
            <w:webHidden/>
          </w:rPr>
          <w:t>53</w:t>
        </w:r>
        <w:r>
          <w:rPr>
            <w:noProof/>
            <w:webHidden/>
          </w:rPr>
          <w:fldChar w:fldCharType="end"/>
        </w:r>
      </w:hyperlink>
    </w:p>
    <w:p w:rsidR="00C03C1B" w:rsidRDefault="00291770">
      <w:pPr>
        <w:pStyle w:val="TOC1"/>
        <w:tabs>
          <w:tab w:val="left" w:pos="880"/>
          <w:tab w:val="right" w:leader="dot" w:pos="9305"/>
        </w:tabs>
        <w:rPr>
          <w:rFonts w:asciiTheme="minorHAnsi" w:eastAsiaTheme="minorEastAsia" w:hAnsiTheme="minorHAnsi" w:cstheme="minorBidi"/>
          <w:noProof/>
          <w:sz w:val="22"/>
          <w:szCs w:val="22"/>
          <w:lang w:val="en-IN" w:eastAsia="en-IN"/>
        </w:rPr>
      </w:pPr>
      <w:hyperlink w:anchor="_Toc404940190" w:history="1">
        <w:r w:rsidR="00C03C1B" w:rsidRPr="005A08C7">
          <w:rPr>
            <w:rStyle w:val="Hyperlink"/>
            <w:noProof/>
          </w:rPr>
          <w:t>5.3.1</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Micro Franchisee</w:t>
        </w:r>
        <w:r w:rsidR="00C03C1B">
          <w:rPr>
            <w:noProof/>
            <w:webHidden/>
          </w:rPr>
          <w:tab/>
        </w:r>
        <w:r>
          <w:rPr>
            <w:noProof/>
            <w:webHidden/>
          </w:rPr>
          <w:fldChar w:fldCharType="begin"/>
        </w:r>
        <w:r w:rsidR="00C03C1B">
          <w:rPr>
            <w:noProof/>
            <w:webHidden/>
          </w:rPr>
          <w:instrText xml:space="preserve"> PAGEREF _Toc404940190 \h </w:instrText>
        </w:r>
        <w:r>
          <w:rPr>
            <w:noProof/>
            <w:webHidden/>
          </w:rPr>
        </w:r>
        <w:r>
          <w:rPr>
            <w:noProof/>
            <w:webHidden/>
          </w:rPr>
          <w:fldChar w:fldCharType="separate"/>
        </w:r>
        <w:r w:rsidR="002F21B9">
          <w:rPr>
            <w:noProof/>
            <w:webHidden/>
          </w:rPr>
          <w:t>55</w:t>
        </w:r>
        <w:r>
          <w:rPr>
            <w:noProof/>
            <w:webHidden/>
          </w:rPr>
          <w:fldChar w:fldCharType="end"/>
        </w:r>
      </w:hyperlink>
    </w:p>
    <w:p w:rsidR="00C03C1B" w:rsidRDefault="00291770">
      <w:pPr>
        <w:pStyle w:val="TOC1"/>
        <w:tabs>
          <w:tab w:val="left" w:pos="880"/>
          <w:tab w:val="right" w:leader="dot" w:pos="9305"/>
        </w:tabs>
        <w:rPr>
          <w:rFonts w:asciiTheme="minorHAnsi" w:eastAsiaTheme="minorEastAsia" w:hAnsiTheme="minorHAnsi" w:cstheme="minorBidi"/>
          <w:noProof/>
          <w:sz w:val="22"/>
          <w:szCs w:val="22"/>
          <w:lang w:val="en-IN" w:eastAsia="en-IN"/>
        </w:rPr>
      </w:pPr>
      <w:hyperlink w:anchor="_Toc404940191" w:history="1">
        <w:r w:rsidR="00C03C1B" w:rsidRPr="005A08C7">
          <w:rPr>
            <w:rStyle w:val="Hyperlink"/>
            <w:noProof/>
          </w:rPr>
          <w:t>5.3.2</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Progress of Franchisee Implementation in 2014 -15</w:t>
        </w:r>
        <w:r w:rsidR="00C03C1B">
          <w:rPr>
            <w:noProof/>
            <w:webHidden/>
          </w:rPr>
          <w:tab/>
        </w:r>
        <w:r>
          <w:rPr>
            <w:noProof/>
            <w:webHidden/>
          </w:rPr>
          <w:fldChar w:fldCharType="begin"/>
        </w:r>
        <w:r w:rsidR="00C03C1B">
          <w:rPr>
            <w:noProof/>
            <w:webHidden/>
          </w:rPr>
          <w:instrText xml:space="preserve"> PAGEREF _Toc404940191 \h </w:instrText>
        </w:r>
        <w:r>
          <w:rPr>
            <w:noProof/>
            <w:webHidden/>
          </w:rPr>
        </w:r>
        <w:r>
          <w:rPr>
            <w:noProof/>
            <w:webHidden/>
          </w:rPr>
          <w:fldChar w:fldCharType="separate"/>
        </w:r>
        <w:r w:rsidR="002F21B9">
          <w:rPr>
            <w:noProof/>
            <w:webHidden/>
          </w:rPr>
          <w:t>55</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92" w:history="1">
        <w:r w:rsidR="00C03C1B" w:rsidRPr="005A08C7">
          <w:rPr>
            <w:rStyle w:val="Hyperlink"/>
            <w:noProof/>
          </w:rPr>
          <w:t>5.4</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Automated Meter Reading System:</w:t>
        </w:r>
        <w:r w:rsidR="00C03C1B">
          <w:rPr>
            <w:noProof/>
            <w:webHidden/>
          </w:rPr>
          <w:tab/>
        </w:r>
        <w:r>
          <w:rPr>
            <w:noProof/>
            <w:webHidden/>
          </w:rPr>
          <w:fldChar w:fldCharType="begin"/>
        </w:r>
        <w:r w:rsidR="00C03C1B">
          <w:rPr>
            <w:noProof/>
            <w:webHidden/>
          </w:rPr>
          <w:instrText xml:space="preserve"> PAGEREF _Toc404940192 \h </w:instrText>
        </w:r>
        <w:r>
          <w:rPr>
            <w:noProof/>
            <w:webHidden/>
          </w:rPr>
        </w:r>
        <w:r>
          <w:rPr>
            <w:noProof/>
            <w:webHidden/>
          </w:rPr>
          <w:fldChar w:fldCharType="separate"/>
        </w:r>
        <w:r w:rsidR="002F21B9">
          <w:rPr>
            <w:noProof/>
            <w:webHidden/>
          </w:rPr>
          <w:t>56</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93" w:history="1">
        <w:r w:rsidR="00C03C1B" w:rsidRPr="005A08C7">
          <w:rPr>
            <w:rStyle w:val="Hyperlink"/>
            <w:rFonts w:ascii="Cambria" w:hAnsi="Cambria"/>
            <w:noProof/>
          </w:rPr>
          <w:t>5.5</w:t>
        </w:r>
        <w:r w:rsidR="00C03C1B">
          <w:rPr>
            <w:rFonts w:asciiTheme="minorHAnsi" w:eastAsiaTheme="minorEastAsia" w:hAnsiTheme="minorHAnsi" w:cstheme="minorBidi"/>
            <w:noProof/>
            <w:sz w:val="22"/>
            <w:szCs w:val="22"/>
            <w:lang w:val="en-IN" w:eastAsia="en-IN"/>
          </w:rPr>
          <w:tab/>
        </w:r>
        <w:r w:rsidR="00C03C1B" w:rsidRPr="005A08C7">
          <w:rPr>
            <w:rStyle w:val="Hyperlink"/>
            <w:rFonts w:ascii="Cambria" w:hAnsi="Cambria"/>
            <w:noProof/>
          </w:rPr>
          <w:t>Prepaid and Smart Metering Initiatives</w:t>
        </w:r>
        <w:r w:rsidR="00C03C1B">
          <w:rPr>
            <w:noProof/>
            <w:webHidden/>
          </w:rPr>
          <w:tab/>
        </w:r>
        <w:r>
          <w:rPr>
            <w:noProof/>
            <w:webHidden/>
          </w:rPr>
          <w:fldChar w:fldCharType="begin"/>
        </w:r>
        <w:r w:rsidR="00C03C1B">
          <w:rPr>
            <w:noProof/>
            <w:webHidden/>
          </w:rPr>
          <w:instrText xml:space="preserve"> PAGEREF _Toc404940193 \h </w:instrText>
        </w:r>
        <w:r>
          <w:rPr>
            <w:noProof/>
            <w:webHidden/>
          </w:rPr>
        </w:r>
        <w:r>
          <w:rPr>
            <w:noProof/>
            <w:webHidden/>
          </w:rPr>
          <w:fldChar w:fldCharType="separate"/>
        </w:r>
        <w:r w:rsidR="002F21B9">
          <w:rPr>
            <w:noProof/>
            <w:webHidden/>
          </w:rPr>
          <w:t>56</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94" w:history="1">
        <w:r w:rsidR="00C03C1B" w:rsidRPr="005A08C7">
          <w:rPr>
            <w:rStyle w:val="Hyperlink"/>
            <w:noProof/>
          </w:rPr>
          <w:t>5.6</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Consumer Indexing</w:t>
        </w:r>
        <w:r w:rsidR="00C03C1B">
          <w:rPr>
            <w:noProof/>
            <w:webHidden/>
          </w:rPr>
          <w:tab/>
        </w:r>
        <w:r>
          <w:rPr>
            <w:noProof/>
            <w:webHidden/>
          </w:rPr>
          <w:fldChar w:fldCharType="begin"/>
        </w:r>
        <w:r w:rsidR="00C03C1B">
          <w:rPr>
            <w:noProof/>
            <w:webHidden/>
          </w:rPr>
          <w:instrText xml:space="preserve"> PAGEREF _Toc404940194 \h </w:instrText>
        </w:r>
        <w:r>
          <w:rPr>
            <w:noProof/>
            <w:webHidden/>
          </w:rPr>
        </w:r>
        <w:r>
          <w:rPr>
            <w:noProof/>
            <w:webHidden/>
          </w:rPr>
          <w:fldChar w:fldCharType="separate"/>
        </w:r>
        <w:r w:rsidR="002F21B9">
          <w:rPr>
            <w:noProof/>
            <w:webHidden/>
          </w:rPr>
          <w:t>59</w:t>
        </w:r>
        <w:r>
          <w:rPr>
            <w:noProof/>
            <w:webHidden/>
          </w:rPr>
          <w:fldChar w:fldCharType="end"/>
        </w:r>
      </w:hyperlink>
    </w:p>
    <w:p w:rsidR="00C03C1B" w:rsidRDefault="00291770">
      <w:pPr>
        <w:pStyle w:val="TOC1"/>
        <w:tabs>
          <w:tab w:val="left" w:pos="480"/>
          <w:tab w:val="right" w:leader="dot" w:pos="9305"/>
        </w:tabs>
        <w:rPr>
          <w:rFonts w:asciiTheme="minorHAnsi" w:eastAsiaTheme="minorEastAsia" w:hAnsiTheme="minorHAnsi" w:cstheme="minorBidi"/>
          <w:noProof/>
          <w:sz w:val="22"/>
          <w:szCs w:val="22"/>
          <w:lang w:val="en-IN" w:eastAsia="en-IN"/>
        </w:rPr>
      </w:pPr>
      <w:hyperlink w:anchor="_Toc404940195" w:history="1">
        <w:r w:rsidR="00C03C1B" w:rsidRPr="005A08C7">
          <w:rPr>
            <w:rStyle w:val="Hyperlink"/>
            <w:noProof/>
          </w:rPr>
          <w:t>6</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ISSUES &amp; CONCERNS</w:t>
        </w:r>
        <w:r w:rsidR="00C03C1B">
          <w:rPr>
            <w:noProof/>
            <w:webHidden/>
          </w:rPr>
          <w:tab/>
        </w:r>
        <w:r>
          <w:rPr>
            <w:noProof/>
            <w:webHidden/>
          </w:rPr>
          <w:fldChar w:fldCharType="begin"/>
        </w:r>
        <w:r w:rsidR="00C03C1B">
          <w:rPr>
            <w:noProof/>
            <w:webHidden/>
          </w:rPr>
          <w:instrText xml:space="preserve"> PAGEREF _Toc404940195 \h </w:instrText>
        </w:r>
        <w:r>
          <w:rPr>
            <w:noProof/>
            <w:webHidden/>
          </w:rPr>
        </w:r>
        <w:r>
          <w:rPr>
            <w:noProof/>
            <w:webHidden/>
          </w:rPr>
          <w:fldChar w:fldCharType="separate"/>
        </w:r>
        <w:r w:rsidR="002F21B9">
          <w:rPr>
            <w:noProof/>
            <w:webHidden/>
          </w:rPr>
          <w:t>60</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96" w:history="1">
        <w:r w:rsidR="00C03C1B" w:rsidRPr="005A08C7">
          <w:rPr>
            <w:rStyle w:val="Hyperlink"/>
            <w:noProof/>
          </w:rPr>
          <w:t>6.1</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Escrow Relaxation:</w:t>
        </w:r>
        <w:r w:rsidR="00C03C1B">
          <w:rPr>
            <w:noProof/>
            <w:webHidden/>
          </w:rPr>
          <w:tab/>
        </w:r>
        <w:r>
          <w:rPr>
            <w:noProof/>
            <w:webHidden/>
          </w:rPr>
          <w:fldChar w:fldCharType="begin"/>
        </w:r>
        <w:r w:rsidR="00C03C1B">
          <w:rPr>
            <w:noProof/>
            <w:webHidden/>
          </w:rPr>
          <w:instrText xml:space="preserve"> PAGEREF _Toc404940196 \h </w:instrText>
        </w:r>
        <w:r>
          <w:rPr>
            <w:noProof/>
            <w:webHidden/>
          </w:rPr>
        </w:r>
        <w:r>
          <w:rPr>
            <w:noProof/>
            <w:webHidden/>
          </w:rPr>
          <w:fldChar w:fldCharType="separate"/>
        </w:r>
        <w:r w:rsidR="002F21B9">
          <w:rPr>
            <w:noProof/>
            <w:webHidden/>
          </w:rPr>
          <w:t>60</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97" w:history="1">
        <w:r w:rsidR="00C03C1B" w:rsidRPr="005A08C7">
          <w:rPr>
            <w:rStyle w:val="Hyperlink"/>
            <w:noProof/>
          </w:rPr>
          <w:t>6.2</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Constraints in Intra State ABT Operation</w:t>
        </w:r>
        <w:r w:rsidR="00C03C1B">
          <w:rPr>
            <w:noProof/>
            <w:webHidden/>
          </w:rPr>
          <w:tab/>
        </w:r>
        <w:r>
          <w:rPr>
            <w:noProof/>
            <w:webHidden/>
          </w:rPr>
          <w:fldChar w:fldCharType="begin"/>
        </w:r>
        <w:r w:rsidR="00C03C1B">
          <w:rPr>
            <w:noProof/>
            <w:webHidden/>
          </w:rPr>
          <w:instrText xml:space="preserve"> PAGEREF _Toc404940197 \h </w:instrText>
        </w:r>
        <w:r>
          <w:rPr>
            <w:noProof/>
            <w:webHidden/>
          </w:rPr>
        </w:r>
        <w:r>
          <w:rPr>
            <w:noProof/>
            <w:webHidden/>
          </w:rPr>
          <w:fldChar w:fldCharType="separate"/>
        </w:r>
        <w:r w:rsidR="002F21B9">
          <w:rPr>
            <w:noProof/>
            <w:webHidden/>
          </w:rPr>
          <w:t>62</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98" w:history="1">
        <w:r w:rsidR="00C03C1B" w:rsidRPr="005A08C7">
          <w:rPr>
            <w:rStyle w:val="Hyperlink"/>
            <w:noProof/>
          </w:rPr>
          <w:t>6.3</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Non-implementation of Directions of Hon’ble ATE:</w:t>
        </w:r>
        <w:r w:rsidR="00C03C1B">
          <w:rPr>
            <w:noProof/>
            <w:webHidden/>
          </w:rPr>
          <w:tab/>
        </w:r>
        <w:r>
          <w:rPr>
            <w:noProof/>
            <w:webHidden/>
          </w:rPr>
          <w:fldChar w:fldCharType="begin"/>
        </w:r>
        <w:r w:rsidR="00C03C1B">
          <w:rPr>
            <w:noProof/>
            <w:webHidden/>
          </w:rPr>
          <w:instrText xml:space="preserve"> PAGEREF _Toc404940198 \h </w:instrText>
        </w:r>
        <w:r>
          <w:rPr>
            <w:noProof/>
            <w:webHidden/>
          </w:rPr>
        </w:r>
        <w:r>
          <w:rPr>
            <w:noProof/>
            <w:webHidden/>
          </w:rPr>
          <w:fldChar w:fldCharType="separate"/>
        </w:r>
        <w:r w:rsidR="002F21B9">
          <w:rPr>
            <w:noProof/>
            <w:webHidden/>
          </w:rPr>
          <w:t>66</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199" w:history="1">
        <w:r w:rsidR="00C03C1B" w:rsidRPr="005A08C7">
          <w:rPr>
            <w:rStyle w:val="Hyperlink"/>
            <w:noProof/>
          </w:rPr>
          <w:t>6.4</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Outstanding electricity from Govt Consumers as receivables of DISCOMs:</w:t>
        </w:r>
        <w:r w:rsidR="00C03C1B">
          <w:rPr>
            <w:noProof/>
            <w:webHidden/>
          </w:rPr>
          <w:tab/>
        </w:r>
        <w:r>
          <w:rPr>
            <w:noProof/>
            <w:webHidden/>
          </w:rPr>
          <w:fldChar w:fldCharType="begin"/>
        </w:r>
        <w:r w:rsidR="00C03C1B">
          <w:rPr>
            <w:noProof/>
            <w:webHidden/>
          </w:rPr>
          <w:instrText xml:space="preserve"> PAGEREF _Toc404940199 \h </w:instrText>
        </w:r>
        <w:r>
          <w:rPr>
            <w:noProof/>
            <w:webHidden/>
          </w:rPr>
        </w:r>
        <w:r>
          <w:rPr>
            <w:noProof/>
            <w:webHidden/>
          </w:rPr>
          <w:fldChar w:fldCharType="separate"/>
        </w:r>
        <w:r w:rsidR="002F21B9">
          <w:rPr>
            <w:noProof/>
            <w:webHidden/>
          </w:rPr>
          <w:t>69</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200" w:history="1">
        <w:r w:rsidR="00C03C1B" w:rsidRPr="005A08C7">
          <w:rPr>
            <w:rStyle w:val="Hyperlink"/>
            <w:noProof/>
          </w:rPr>
          <w:t>6.5</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The Crisis situations due to non-implementation of Hon’ble ATE’s Orders:</w:t>
        </w:r>
        <w:r w:rsidR="00C03C1B">
          <w:rPr>
            <w:noProof/>
            <w:webHidden/>
          </w:rPr>
          <w:tab/>
        </w:r>
        <w:r>
          <w:rPr>
            <w:noProof/>
            <w:webHidden/>
          </w:rPr>
          <w:fldChar w:fldCharType="begin"/>
        </w:r>
        <w:r w:rsidR="00C03C1B">
          <w:rPr>
            <w:noProof/>
            <w:webHidden/>
          </w:rPr>
          <w:instrText xml:space="preserve"> PAGEREF _Toc404940200 \h </w:instrText>
        </w:r>
        <w:r>
          <w:rPr>
            <w:noProof/>
            <w:webHidden/>
          </w:rPr>
        </w:r>
        <w:r>
          <w:rPr>
            <w:noProof/>
            <w:webHidden/>
          </w:rPr>
          <w:fldChar w:fldCharType="separate"/>
        </w:r>
        <w:r w:rsidR="002F21B9">
          <w:rPr>
            <w:noProof/>
            <w:webHidden/>
          </w:rPr>
          <w:t>70</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201" w:history="1">
        <w:r w:rsidR="00C03C1B" w:rsidRPr="005A08C7">
          <w:rPr>
            <w:rStyle w:val="Hyperlink"/>
            <w:noProof/>
          </w:rPr>
          <w:t>6.6</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Energy Police Stations</w:t>
        </w:r>
        <w:r w:rsidR="00C03C1B">
          <w:rPr>
            <w:noProof/>
            <w:webHidden/>
          </w:rPr>
          <w:tab/>
        </w:r>
        <w:r>
          <w:rPr>
            <w:noProof/>
            <w:webHidden/>
          </w:rPr>
          <w:fldChar w:fldCharType="begin"/>
        </w:r>
        <w:r w:rsidR="00C03C1B">
          <w:rPr>
            <w:noProof/>
            <w:webHidden/>
          </w:rPr>
          <w:instrText xml:space="preserve"> PAGEREF _Toc404940201 \h </w:instrText>
        </w:r>
        <w:r>
          <w:rPr>
            <w:noProof/>
            <w:webHidden/>
          </w:rPr>
        </w:r>
        <w:r>
          <w:rPr>
            <w:noProof/>
            <w:webHidden/>
          </w:rPr>
          <w:fldChar w:fldCharType="separate"/>
        </w:r>
        <w:r w:rsidR="002F21B9">
          <w:rPr>
            <w:noProof/>
            <w:webHidden/>
          </w:rPr>
          <w:t>74</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202" w:history="1">
        <w:r w:rsidR="00C03C1B" w:rsidRPr="005A08C7">
          <w:rPr>
            <w:rStyle w:val="Hyperlink"/>
            <w:noProof/>
          </w:rPr>
          <w:t>6.7</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Organisational Set up for Disaster response</w:t>
        </w:r>
        <w:r w:rsidR="00C03C1B">
          <w:rPr>
            <w:noProof/>
            <w:webHidden/>
          </w:rPr>
          <w:tab/>
        </w:r>
        <w:r>
          <w:rPr>
            <w:noProof/>
            <w:webHidden/>
          </w:rPr>
          <w:fldChar w:fldCharType="begin"/>
        </w:r>
        <w:r w:rsidR="00C03C1B">
          <w:rPr>
            <w:noProof/>
            <w:webHidden/>
          </w:rPr>
          <w:instrText xml:space="preserve"> PAGEREF _Toc404940202 \h </w:instrText>
        </w:r>
        <w:r>
          <w:rPr>
            <w:noProof/>
            <w:webHidden/>
          </w:rPr>
        </w:r>
        <w:r>
          <w:rPr>
            <w:noProof/>
            <w:webHidden/>
          </w:rPr>
          <w:fldChar w:fldCharType="separate"/>
        </w:r>
        <w:r w:rsidR="002F21B9">
          <w:rPr>
            <w:noProof/>
            <w:webHidden/>
          </w:rPr>
          <w:t>75</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203" w:history="1">
        <w:r w:rsidR="00C03C1B" w:rsidRPr="005A08C7">
          <w:rPr>
            <w:rStyle w:val="Hyperlink"/>
            <w:rFonts w:ascii="Cambria" w:hAnsi="Cambria"/>
            <w:noProof/>
          </w:rPr>
          <w:t>6.8</w:t>
        </w:r>
        <w:r w:rsidR="00C03C1B">
          <w:rPr>
            <w:rFonts w:asciiTheme="minorHAnsi" w:eastAsiaTheme="minorEastAsia" w:hAnsiTheme="minorHAnsi" w:cstheme="minorBidi"/>
            <w:noProof/>
            <w:sz w:val="22"/>
            <w:szCs w:val="22"/>
            <w:lang w:val="en-IN" w:eastAsia="en-IN"/>
          </w:rPr>
          <w:tab/>
        </w:r>
        <w:r w:rsidR="00C03C1B" w:rsidRPr="005A08C7">
          <w:rPr>
            <w:rStyle w:val="Hyperlink"/>
            <w:rFonts w:ascii="Cambria" w:hAnsi="Cambria"/>
            <w:noProof/>
          </w:rPr>
          <w:t>Difficulties in Carrying out Energy Audit work without Fund:</w:t>
        </w:r>
        <w:r w:rsidR="00C03C1B">
          <w:rPr>
            <w:noProof/>
            <w:webHidden/>
          </w:rPr>
          <w:tab/>
        </w:r>
        <w:r>
          <w:rPr>
            <w:noProof/>
            <w:webHidden/>
          </w:rPr>
          <w:fldChar w:fldCharType="begin"/>
        </w:r>
        <w:r w:rsidR="00C03C1B">
          <w:rPr>
            <w:noProof/>
            <w:webHidden/>
          </w:rPr>
          <w:instrText xml:space="preserve"> PAGEREF _Toc404940203 \h </w:instrText>
        </w:r>
        <w:r>
          <w:rPr>
            <w:noProof/>
            <w:webHidden/>
          </w:rPr>
        </w:r>
        <w:r>
          <w:rPr>
            <w:noProof/>
            <w:webHidden/>
          </w:rPr>
          <w:fldChar w:fldCharType="separate"/>
        </w:r>
        <w:r w:rsidR="002F21B9">
          <w:rPr>
            <w:noProof/>
            <w:webHidden/>
          </w:rPr>
          <w:t>76</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204" w:history="1">
        <w:r w:rsidR="00C03C1B" w:rsidRPr="005A08C7">
          <w:rPr>
            <w:rStyle w:val="Hyperlink"/>
            <w:rFonts w:ascii="Cambria" w:hAnsi="Cambria"/>
            <w:noProof/>
          </w:rPr>
          <w:t>6.9</w:t>
        </w:r>
        <w:r w:rsidR="00C03C1B">
          <w:rPr>
            <w:rFonts w:asciiTheme="minorHAnsi" w:eastAsiaTheme="minorEastAsia" w:hAnsiTheme="minorHAnsi" w:cstheme="minorBidi"/>
            <w:noProof/>
            <w:sz w:val="22"/>
            <w:szCs w:val="22"/>
            <w:lang w:val="en-IN" w:eastAsia="en-IN"/>
          </w:rPr>
          <w:tab/>
        </w:r>
        <w:r w:rsidR="00C03C1B" w:rsidRPr="005A08C7">
          <w:rPr>
            <w:rStyle w:val="Hyperlink"/>
            <w:rFonts w:ascii="Cambria" w:hAnsi="Cambria"/>
            <w:noProof/>
          </w:rPr>
          <w:t>Non-Release of Assets by GRIDCO:</w:t>
        </w:r>
        <w:r w:rsidR="00C03C1B">
          <w:rPr>
            <w:noProof/>
            <w:webHidden/>
          </w:rPr>
          <w:tab/>
        </w:r>
        <w:r>
          <w:rPr>
            <w:noProof/>
            <w:webHidden/>
          </w:rPr>
          <w:fldChar w:fldCharType="begin"/>
        </w:r>
        <w:r w:rsidR="00C03C1B">
          <w:rPr>
            <w:noProof/>
            <w:webHidden/>
          </w:rPr>
          <w:instrText xml:space="preserve"> PAGEREF _Toc404940204 \h </w:instrText>
        </w:r>
        <w:r>
          <w:rPr>
            <w:noProof/>
            <w:webHidden/>
          </w:rPr>
        </w:r>
        <w:r>
          <w:rPr>
            <w:noProof/>
            <w:webHidden/>
          </w:rPr>
          <w:fldChar w:fldCharType="separate"/>
        </w:r>
        <w:r w:rsidR="002F21B9">
          <w:rPr>
            <w:noProof/>
            <w:webHidden/>
          </w:rPr>
          <w:t>76</w:t>
        </w:r>
        <w:r>
          <w:rPr>
            <w:noProof/>
            <w:webHidden/>
          </w:rPr>
          <w:fldChar w:fldCharType="end"/>
        </w:r>
      </w:hyperlink>
    </w:p>
    <w:p w:rsidR="00C03C1B" w:rsidRDefault="00291770">
      <w:pPr>
        <w:pStyle w:val="TOC1"/>
        <w:tabs>
          <w:tab w:val="left" w:pos="480"/>
          <w:tab w:val="right" w:leader="dot" w:pos="9305"/>
        </w:tabs>
        <w:rPr>
          <w:rFonts w:asciiTheme="minorHAnsi" w:eastAsiaTheme="minorEastAsia" w:hAnsiTheme="minorHAnsi" w:cstheme="minorBidi"/>
          <w:noProof/>
          <w:sz w:val="22"/>
          <w:szCs w:val="22"/>
          <w:lang w:val="en-IN" w:eastAsia="en-IN"/>
        </w:rPr>
      </w:pPr>
      <w:hyperlink w:anchor="_Toc404940205" w:history="1">
        <w:r w:rsidR="00C03C1B" w:rsidRPr="005A08C7">
          <w:rPr>
            <w:rStyle w:val="Hyperlink"/>
            <w:noProof/>
          </w:rPr>
          <w:t>7</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Tariff Rationalization Measures</w:t>
        </w:r>
        <w:r w:rsidR="00C03C1B">
          <w:rPr>
            <w:noProof/>
            <w:webHidden/>
          </w:rPr>
          <w:tab/>
        </w:r>
        <w:r>
          <w:rPr>
            <w:noProof/>
            <w:webHidden/>
          </w:rPr>
          <w:fldChar w:fldCharType="begin"/>
        </w:r>
        <w:r w:rsidR="00C03C1B">
          <w:rPr>
            <w:noProof/>
            <w:webHidden/>
          </w:rPr>
          <w:instrText xml:space="preserve"> PAGEREF _Toc404940205 \h </w:instrText>
        </w:r>
        <w:r>
          <w:rPr>
            <w:noProof/>
            <w:webHidden/>
          </w:rPr>
        </w:r>
        <w:r>
          <w:rPr>
            <w:noProof/>
            <w:webHidden/>
          </w:rPr>
          <w:fldChar w:fldCharType="separate"/>
        </w:r>
        <w:r w:rsidR="002F21B9">
          <w:rPr>
            <w:noProof/>
            <w:webHidden/>
          </w:rPr>
          <w:t>78</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206" w:history="1">
        <w:r w:rsidR="00C03C1B" w:rsidRPr="005A08C7">
          <w:rPr>
            <w:rStyle w:val="Hyperlink"/>
            <w:noProof/>
          </w:rPr>
          <w:t>7.1</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Levy of Meter Rent on Smart, Prepaid Meters</w:t>
        </w:r>
        <w:r w:rsidR="00C03C1B">
          <w:rPr>
            <w:noProof/>
            <w:webHidden/>
          </w:rPr>
          <w:tab/>
        </w:r>
        <w:r>
          <w:rPr>
            <w:noProof/>
            <w:webHidden/>
          </w:rPr>
          <w:fldChar w:fldCharType="begin"/>
        </w:r>
        <w:r w:rsidR="00C03C1B">
          <w:rPr>
            <w:noProof/>
            <w:webHidden/>
          </w:rPr>
          <w:instrText xml:space="preserve"> PAGEREF _Toc404940206 \h </w:instrText>
        </w:r>
        <w:r>
          <w:rPr>
            <w:noProof/>
            <w:webHidden/>
          </w:rPr>
        </w:r>
        <w:r>
          <w:rPr>
            <w:noProof/>
            <w:webHidden/>
          </w:rPr>
          <w:fldChar w:fldCharType="separate"/>
        </w:r>
        <w:r w:rsidR="002F21B9">
          <w:rPr>
            <w:noProof/>
            <w:webHidden/>
          </w:rPr>
          <w:t>78</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207" w:history="1">
        <w:r w:rsidR="00C03C1B" w:rsidRPr="005A08C7">
          <w:rPr>
            <w:rStyle w:val="Hyperlink"/>
            <w:rFonts w:ascii="Cambria" w:hAnsi="Cambria"/>
            <w:noProof/>
          </w:rPr>
          <w:t>7.2</w:t>
        </w:r>
        <w:r w:rsidR="00C03C1B">
          <w:rPr>
            <w:rFonts w:asciiTheme="minorHAnsi" w:eastAsiaTheme="minorEastAsia" w:hAnsiTheme="minorHAnsi" w:cstheme="minorBidi"/>
            <w:noProof/>
            <w:sz w:val="22"/>
            <w:szCs w:val="22"/>
            <w:lang w:val="en-IN" w:eastAsia="en-IN"/>
          </w:rPr>
          <w:tab/>
        </w:r>
        <w:r w:rsidR="00C03C1B" w:rsidRPr="005A08C7">
          <w:rPr>
            <w:rStyle w:val="Hyperlink"/>
            <w:rFonts w:ascii="Cambria" w:hAnsi="Cambria"/>
            <w:noProof/>
          </w:rPr>
          <w:t>Introduction of KVAH Billing</w:t>
        </w:r>
        <w:r w:rsidR="00C03C1B">
          <w:rPr>
            <w:noProof/>
            <w:webHidden/>
          </w:rPr>
          <w:tab/>
        </w:r>
        <w:r>
          <w:rPr>
            <w:noProof/>
            <w:webHidden/>
          </w:rPr>
          <w:fldChar w:fldCharType="begin"/>
        </w:r>
        <w:r w:rsidR="00C03C1B">
          <w:rPr>
            <w:noProof/>
            <w:webHidden/>
          </w:rPr>
          <w:instrText xml:space="preserve"> PAGEREF _Toc404940207 \h </w:instrText>
        </w:r>
        <w:r>
          <w:rPr>
            <w:noProof/>
            <w:webHidden/>
          </w:rPr>
        </w:r>
        <w:r>
          <w:rPr>
            <w:noProof/>
            <w:webHidden/>
          </w:rPr>
          <w:fldChar w:fldCharType="separate"/>
        </w:r>
        <w:r w:rsidR="002F21B9">
          <w:rPr>
            <w:noProof/>
            <w:webHidden/>
          </w:rPr>
          <w:t>79</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208" w:history="1">
        <w:r w:rsidR="00C03C1B" w:rsidRPr="005A08C7">
          <w:rPr>
            <w:rStyle w:val="Hyperlink"/>
            <w:rFonts w:ascii="Cambria" w:hAnsi="Cambria"/>
            <w:noProof/>
          </w:rPr>
          <w:t>7.3</w:t>
        </w:r>
        <w:r w:rsidR="00C03C1B">
          <w:rPr>
            <w:rFonts w:asciiTheme="minorHAnsi" w:eastAsiaTheme="minorEastAsia" w:hAnsiTheme="minorHAnsi" w:cstheme="minorBidi"/>
            <w:noProof/>
            <w:sz w:val="22"/>
            <w:szCs w:val="22"/>
            <w:lang w:val="en-IN" w:eastAsia="en-IN"/>
          </w:rPr>
          <w:tab/>
        </w:r>
        <w:r w:rsidR="00C03C1B" w:rsidRPr="005A08C7">
          <w:rPr>
            <w:rStyle w:val="Hyperlink"/>
            <w:rFonts w:ascii="Cambria" w:hAnsi="Cambria"/>
            <w:noProof/>
          </w:rPr>
          <w:t>Applicability of Power Factor Penalty :</w:t>
        </w:r>
        <w:r w:rsidR="00C03C1B">
          <w:rPr>
            <w:noProof/>
            <w:webHidden/>
          </w:rPr>
          <w:tab/>
        </w:r>
        <w:r>
          <w:rPr>
            <w:noProof/>
            <w:webHidden/>
          </w:rPr>
          <w:fldChar w:fldCharType="begin"/>
        </w:r>
        <w:r w:rsidR="00C03C1B">
          <w:rPr>
            <w:noProof/>
            <w:webHidden/>
          </w:rPr>
          <w:instrText xml:space="preserve"> PAGEREF _Toc404940208 \h </w:instrText>
        </w:r>
        <w:r>
          <w:rPr>
            <w:noProof/>
            <w:webHidden/>
          </w:rPr>
        </w:r>
        <w:r>
          <w:rPr>
            <w:noProof/>
            <w:webHidden/>
          </w:rPr>
          <w:fldChar w:fldCharType="separate"/>
        </w:r>
        <w:r w:rsidR="002F21B9">
          <w:rPr>
            <w:noProof/>
            <w:webHidden/>
          </w:rPr>
          <w:t>81</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209" w:history="1">
        <w:r w:rsidR="00C03C1B" w:rsidRPr="005A08C7">
          <w:rPr>
            <w:rStyle w:val="Hyperlink"/>
            <w:rFonts w:ascii="Cambria" w:hAnsi="Cambria"/>
            <w:noProof/>
          </w:rPr>
          <w:t>7.4</w:t>
        </w:r>
        <w:r w:rsidR="00C03C1B">
          <w:rPr>
            <w:rFonts w:asciiTheme="minorHAnsi" w:eastAsiaTheme="minorEastAsia" w:hAnsiTheme="minorHAnsi" w:cstheme="minorBidi"/>
            <w:noProof/>
            <w:sz w:val="22"/>
            <w:szCs w:val="22"/>
            <w:lang w:val="en-IN" w:eastAsia="en-IN"/>
          </w:rPr>
          <w:tab/>
        </w:r>
        <w:r w:rsidR="00C03C1B" w:rsidRPr="005A08C7">
          <w:rPr>
            <w:rStyle w:val="Hyperlink"/>
            <w:rFonts w:ascii="Cambria" w:hAnsi="Cambria"/>
            <w:noProof/>
          </w:rPr>
          <w:t>Verification of CGP Status of Power Plants:</w:t>
        </w:r>
        <w:r w:rsidR="00C03C1B">
          <w:rPr>
            <w:noProof/>
            <w:webHidden/>
          </w:rPr>
          <w:tab/>
        </w:r>
        <w:r>
          <w:rPr>
            <w:noProof/>
            <w:webHidden/>
          </w:rPr>
          <w:fldChar w:fldCharType="begin"/>
        </w:r>
        <w:r w:rsidR="00C03C1B">
          <w:rPr>
            <w:noProof/>
            <w:webHidden/>
          </w:rPr>
          <w:instrText xml:space="preserve"> PAGEREF _Toc404940209 \h </w:instrText>
        </w:r>
        <w:r>
          <w:rPr>
            <w:noProof/>
            <w:webHidden/>
          </w:rPr>
        </w:r>
        <w:r>
          <w:rPr>
            <w:noProof/>
            <w:webHidden/>
          </w:rPr>
          <w:fldChar w:fldCharType="separate"/>
        </w:r>
        <w:r w:rsidR="002F21B9">
          <w:rPr>
            <w:noProof/>
            <w:webHidden/>
          </w:rPr>
          <w:t>82</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210" w:history="1">
        <w:r w:rsidR="00C03C1B" w:rsidRPr="005A08C7">
          <w:rPr>
            <w:rStyle w:val="Hyperlink"/>
            <w:noProof/>
          </w:rPr>
          <w:t>7.5</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Emergency power supply to Captive Power Plants (CPP)</w:t>
        </w:r>
        <w:r w:rsidR="00C03C1B">
          <w:rPr>
            <w:noProof/>
            <w:webHidden/>
          </w:rPr>
          <w:tab/>
        </w:r>
        <w:r>
          <w:rPr>
            <w:noProof/>
            <w:webHidden/>
          </w:rPr>
          <w:fldChar w:fldCharType="begin"/>
        </w:r>
        <w:r w:rsidR="00C03C1B">
          <w:rPr>
            <w:noProof/>
            <w:webHidden/>
          </w:rPr>
          <w:instrText xml:space="preserve"> PAGEREF _Toc404940210 \h </w:instrText>
        </w:r>
        <w:r>
          <w:rPr>
            <w:noProof/>
            <w:webHidden/>
          </w:rPr>
        </w:r>
        <w:r>
          <w:rPr>
            <w:noProof/>
            <w:webHidden/>
          </w:rPr>
          <w:fldChar w:fldCharType="separate"/>
        </w:r>
        <w:r w:rsidR="002F21B9">
          <w:rPr>
            <w:noProof/>
            <w:webHidden/>
          </w:rPr>
          <w:t>83</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211" w:history="1">
        <w:r w:rsidR="00C03C1B" w:rsidRPr="005A08C7">
          <w:rPr>
            <w:rStyle w:val="Hyperlink"/>
            <w:rFonts w:ascii="Cambria" w:hAnsi="Cambria"/>
            <w:noProof/>
          </w:rPr>
          <w:t>7.6</w:t>
        </w:r>
        <w:r w:rsidR="00C03C1B">
          <w:rPr>
            <w:rFonts w:asciiTheme="minorHAnsi" w:eastAsiaTheme="minorEastAsia" w:hAnsiTheme="minorHAnsi" w:cstheme="minorBidi"/>
            <w:noProof/>
            <w:sz w:val="22"/>
            <w:szCs w:val="22"/>
            <w:lang w:val="en-IN" w:eastAsia="en-IN"/>
          </w:rPr>
          <w:tab/>
        </w:r>
        <w:r w:rsidR="00C03C1B" w:rsidRPr="005A08C7">
          <w:rPr>
            <w:rStyle w:val="Hyperlink"/>
            <w:rFonts w:ascii="Cambria" w:hAnsi="Cambria"/>
            <w:noProof/>
          </w:rPr>
          <w:t>Exclusion of Meter Rent as Misc Revenue in Discoms ARR</w:t>
        </w:r>
        <w:r w:rsidR="00C03C1B">
          <w:rPr>
            <w:noProof/>
            <w:webHidden/>
          </w:rPr>
          <w:tab/>
        </w:r>
        <w:r>
          <w:rPr>
            <w:noProof/>
            <w:webHidden/>
          </w:rPr>
          <w:fldChar w:fldCharType="begin"/>
        </w:r>
        <w:r w:rsidR="00C03C1B">
          <w:rPr>
            <w:noProof/>
            <w:webHidden/>
          </w:rPr>
          <w:instrText xml:space="preserve"> PAGEREF _Toc404940211 \h </w:instrText>
        </w:r>
        <w:r>
          <w:rPr>
            <w:noProof/>
            <w:webHidden/>
          </w:rPr>
        </w:r>
        <w:r>
          <w:rPr>
            <w:noProof/>
            <w:webHidden/>
          </w:rPr>
          <w:fldChar w:fldCharType="separate"/>
        </w:r>
        <w:r w:rsidR="002F21B9">
          <w:rPr>
            <w:noProof/>
            <w:webHidden/>
          </w:rPr>
          <w:t>87</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212" w:history="1">
        <w:r w:rsidR="00C03C1B" w:rsidRPr="005A08C7">
          <w:rPr>
            <w:rStyle w:val="Hyperlink"/>
            <w:noProof/>
          </w:rPr>
          <w:t>7.7</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MMFC for Consumers with Contract Demand &lt;110 KVA</w:t>
        </w:r>
        <w:r w:rsidR="00C03C1B">
          <w:rPr>
            <w:noProof/>
            <w:webHidden/>
          </w:rPr>
          <w:tab/>
        </w:r>
        <w:r>
          <w:rPr>
            <w:noProof/>
            <w:webHidden/>
          </w:rPr>
          <w:fldChar w:fldCharType="begin"/>
        </w:r>
        <w:r w:rsidR="00C03C1B">
          <w:rPr>
            <w:noProof/>
            <w:webHidden/>
          </w:rPr>
          <w:instrText xml:space="preserve"> PAGEREF _Toc404940212 \h </w:instrText>
        </w:r>
        <w:r>
          <w:rPr>
            <w:noProof/>
            <w:webHidden/>
          </w:rPr>
        </w:r>
        <w:r>
          <w:rPr>
            <w:noProof/>
            <w:webHidden/>
          </w:rPr>
          <w:fldChar w:fldCharType="separate"/>
        </w:r>
        <w:r w:rsidR="002F21B9">
          <w:rPr>
            <w:noProof/>
            <w:webHidden/>
          </w:rPr>
          <w:t>87</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213" w:history="1">
        <w:r w:rsidR="00C03C1B" w:rsidRPr="005A08C7">
          <w:rPr>
            <w:rStyle w:val="Hyperlink"/>
            <w:noProof/>
            <w:lang w:val="en-GB"/>
          </w:rPr>
          <w:t>7.8</w:t>
        </w:r>
        <w:r w:rsidR="00C03C1B">
          <w:rPr>
            <w:rFonts w:asciiTheme="minorHAnsi" w:eastAsiaTheme="minorEastAsia" w:hAnsiTheme="minorHAnsi" w:cstheme="minorBidi"/>
            <w:noProof/>
            <w:sz w:val="22"/>
            <w:szCs w:val="22"/>
            <w:lang w:val="en-IN" w:eastAsia="en-IN"/>
          </w:rPr>
          <w:tab/>
        </w:r>
        <w:r w:rsidR="00C03C1B" w:rsidRPr="005A08C7">
          <w:rPr>
            <w:rStyle w:val="Hyperlink"/>
            <w:noProof/>
            <w:lang w:val="en-GB"/>
          </w:rPr>
          <w:t>Demand Charges for GP&gt;70 Kva&lt;110 KVa and HT Industrial (M) Supply</w:t>
        </w:r>
        <w:r w:rsidR="00C03C1B">
          <w:rPr>
            <w:noProof/>
            <w:webHidden/>
          </w:rPr>
          <w:tab/>
        </w:r>
        <w:r>
          <w:rPr>
            <w:noProof/>
            <w:webHidden/>
          </w:rPr>
          <w:fldChar w:fldCharType="begin"/>
        </w:r>
        <w:r w:rsidR="00C03C1B">
          <w:rPr>
            <w:noProof/>
            <w:webHidden/>
          </w:rPr>
          <w:instrText xml:space="preserve"> PAGEREF _Toc404940213 \h </w:instrText>
        </w:r>
        <w:r>
          <w:rPr>
            <w:noProof/>
            <w:webHidden/>
          </w:rPr>
        </w:r>
        <w:r>
          <w:rPr>
            <w:noProof/>
            <w:webHidden/>
          </w:rPr>
          <w:fldChar w:fldCharType="separate"/>
        </w:r>
        <w:r w:rsidR="002F21B9">
          <w:rPr>
            <w:noProof/>
            <w:webHidden/>
          </w:rPr>
          <w:t>88</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214" w:history="1">
        <w:r w:rsidR="00C03C1B" w:rsidRPr="005A08C7">
          <w:rPr>
            <w:rStyle w:val="Hyperlink"/>
            <w:noProof/>
            <w:lang w:val="en-GB"/>
          </w:rPr>
          <w:t>7.9</w:t>
        </w:r>
        <w:r w:rsidR="00C03C1B">
          <w:rPr>
            <w:rFonts w:asciiTheme="minorHAnsi" w:eastAsiaTheme="minorEastAsia" w:hAnsiTheme="minorHAnsi" w:cstheme="minorBidi"/>
            <w:noProof/>
            <w:sz w:val="22"/>
            <w:szCs w:val="22"/>
            <w:lang w:val="en-IN" w:eastAsia="en-IN"/>
          </w:rPr>
          <w:tab/>
        </w:r>
        <w:r w:rsidR="00C03C1B" w:rsidRPr="005A08C7">
          <w:rPr>
            <w:rStyle w:val="Hyperlink"/>
            <w:noProof/>
            <w:lang w:val="en-GB"/>
          </w:rPr>
          <w:t>Demand Charges and Monthly Minimum Fixed Charges</w:t>
        </w:r>
        <w:r w:rsidR="00C03C1B">
          <w:rPr>
            <w:noProof/>
            <w:webHidden/>
          </w:rPr>
          <w:tab/>
        </w:r>
        <w:r>
          <w:rPr>
            <w:noProof/>
            <w:webHidden/>
          </w:rPr>
          <w:fldChar w:fldCharType="begin"/>
        </w:r>
        <w:r w:rsidR="00C03C1B">
          <w:rPr>
            <w:noProof/>
            <w:webHidden/>
          </w:rPr>
          <w:instrText xml:space="preserve"> PAGEREF _Toc404940214 \h </w:instrText>
        </w:r>
        <w:r>
          <w:rPr>
            <w:noProof/>
            <w:webHidden/>
          </w:rPr>
        </w:r>
        <w:r>
          <w:rPr>
            <w:noProof/>
            <w:webHidden/>
          </w:rPr>
          <w:fldChar w:fldCharType="separate"/>
        </w:r>
        <w:r w:rsidR="002F21B9">
          <w:rPr>
            <w:noProof/>
            <w:webHidden/>
          </w:rPr>
          <w:t>88</w:t>
        </w:r>
        <w:r>
          <w:rPr>
            <w:noProof/>
            <w:webHidden/>
          </w:rPr>
          <w:fldChar w:fldCharType="end"/>
        </w:r>
      </w:hyperlink>
    </w:p>
    <w:p w:rsidR="00C03C1B" w:rsidRDefault="00291770">
      <w:pPr>
        <w:pStyle w:val="TOC1"/>
        <w:tabs>
          <w:tab w:val="left" w:pos="480"/>
          <w:tab w:val="right" w:leader="dot" w:pos="9305"/>
        </w:tabs>
        <w:rPr>
          <w:rFonts w:asciiTheme="minorHAnsi" w:eastAsiaTheme="minorEastAsia" w:hAnsiTheme="minorHAnsi" w:cstheme="minorBidi"/>
          <w:noProof/>
          <w:sz w:val="22"/>
          <w:szCs w:val="22"/>
          <w:lang w:val="en-IN" w:eastAsia="en-IN"/>
        </w:rPr>
      </w:pPr>
      <w:hyperlink w:anchor="_Toc404940215" w:history="1">
        <w:r w:rsidR="00C03C1B" w:rsidRPr="005A08C7">
          <w:rPr>
            <w:rStyle w:val="Hyperlink"/>
            <w:noProof/>
          </w:rPr>
          <w:t>8</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Other Issues</w:t>
        </w:r>
        <w:r w:rsidR="00C03C1B">
          <w:rPr>
            <w:noProof/>
            <w:webHidden/>
          </w:rPr>
          <w:tab/>
        </w:r>
        <w:r>
          <w:rPr>
            <w:noProof/>
            <w:webHidden/>
          </w:rPr>
          <w:fldChar w:fldCharType="begin"/>
        </w:r>
        <w:r w:rsidR="00C03C1B">
          <w:rPr>
            <w:noProof/>
            <w:webHidden/>
          </w:rPr>
          <w:instrText xml:space="preserve"> PAGEREF _Toc404940215 \h </w:instrText>
        </w:r>
        <w:r>
          <w:rPr>
            <w:noProof/>
            <w:webHidden/>
          </w:rPr>
        </w:r>
        <w:r>
          <w:rPr>
            <w:noProof/>
            <w:webHidden/>
          </w:rPr>
          <w:fldChar w:fldCharType="separate"/>
        </w:r>
        <w:r w:rsidR="002F21B9">
          <w:rPr>
            <w:noProof/>
            <w:webHidden/>
          </w:rPr>
          <w:t>89</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216" w:history="1">
        <w:r w:rsidR="00C03C1B" w:rsidRPr="005A08C7">
          <w:rPr>
            <w:rStyle w:val="Hyperlink"/>
            <w:noProof/>
          </w:rPr>
          <w:t>8.1</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Applicability of Reconnection Fees and Reliability Surcharge:</w:t>
        </w:r>
        <w:r w:rsidR="00C03C1B">
          <w:rPr>
            <w:noProof/>
            <w:webHidden/>
          </w:rPr>
          <w:tab/>
        </w:r>
        <w:r>
          <w:rPr>
            <w:noProof/>
            <w:webHidden/>
          </w:rPr>
          <w:fldChar w:fldCharType="begin"/>
        </w:r>
        <w:r w:rsidR="00C03C1B">
          <w:rPr>
            <w:noProof/>
            <w:webHidden/>
          </w:rPr>
          <w:instrText xml:space="preserve"> PAGEREF _Toc404940216 \h </w:instrText>
        </w:r>
        <w:r>
          <w:rPr>
            <w:noProof/>
            <w:webHidden/>
          </w:rPr>
        </w:r>
        <w:r>
          <w:rPr>
            <w:noProof/>
            <w:webHidden/>
          </w:rPr>
          <w:fldChar w:fldCharType="separate"/>
        </w:r>
        <w:r w:rsidR="002F21B9">
          <w:rPr>
            <w:noProof/>
            <w:webHidden/>
          </w:rPr>
          <w:t>89</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217" w:history="1">
        <w:r w:rsidR="00C03C1B" w:rsidRPr="005A08C7">
          <w:rPr>
            <w:rStyle w:val="Hyperlink"/>
            <w:noProof/>
          </w:rPr>
          <w:t>8.2</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Rebate on Prompt Payment</w:t>
        </w:r>
        <w:r w:rsidR="00C03C1B">
          <w:rPr>
            <w:noProof/>
            <w:webHidden/>
          </w:rPr>
          <w:tab/>
        </w:r>
        <w:r>
          <w:rPr>
            <w:noProof/>
            <w:webHidden/>
          </w:rPr>
          <w:fldChar w:fldCharType="begin"/>
        </w:r>
        <w:r w:rsidR="00C03C1B">
          <w:rPr>
            <w:noProof/>
            <w:webHidden/>
          </w:rPr>
          <w:instrText xml:space="preserve"> PAGEREF _Toc404940217 \h </w:instrText>
        </w:r>
        <w:r>
          <w:rPr>
            <w:noProof/>
            <w:webHidden/>
          </w:rPr>
        </w:r>
        <w:r>
          <w:rPr>
            <w:noProof/>
            <w:webHidden/>
          </w:rPr>
          <w:fldChar w:fldCharType="separate"/>
        </w:r>
        <w:r w:rsidR="002F21B9">
          <w:rPr>
            <w:noProof/>
            <w:webHidden/>
          </w:rPr>
          <w:t>89</w:t>
        </w:r>
        <w:r>
          <w:rPr>
            <w:noProof/>
            <w:webHidden/>
          </w:rPr>
          <w:fldChar w:fldCharType="end"/>
        </w:r>
      </w:hyperlink>
    </w:p>
    <w:p w:rsidR="00C03C1B" w:rsidRDefault="00291770">
      <w:pPr>
        <w:pStyle w:val="TOC1"/>
        <w:tabs>
          <w:tab w:val="left" w:pos="480"/>
          <w:tab w:val="right" w:leader="dot" w:pos="9305"/>
        </w:tabs>
        <w:rPr>
          <w:rFonts w:asciiTheme="minorHAnsi" w:eastAsiaTheme="minorEastAsia" w:hAnsiTheme="minorHAnsi" w:cstheme="minorBidi"/>
          <w:noProof/>
          <w:sz w:val="22"/>
          <w:szCs w:val="22"/>
          <w:lang w:val="en-IN" w:eastAsia="en-IN"/>
        </w:rPr>
      </w:pPr>
      <w:hyperlink w:anchor="_Toc404940218" w:history="1">
        <w:r w:rsidR="00C03C1B" w:rsidRPr="005A08C7">
          <w:rPr>
            <w:rStyle w:val="Hyperlink"/>
            <w:noProof/>
          </w:rPr>
          <w:t>9</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Formats</w:t>
        </w:r>
        <w:r w:rsidR="00C03C1B">
          <w:rPr>
            <w:noProof/>
            <w:webHidden/>
          </w:rPr>
          <w:tab/>
        </w:r>
        <w:r>
          <w:rPr>
            <w:noProof/>
            <w:webHidden/>
          </w:rPr>
          <w:fldChar w:fldCharType="begin"/>
        </w:r>
        <w:r w:rsidR="00C03C1B">
          <w:rPr>
            <w:noProof/>
            <w:webHidden/>
          </w:rPr>
          <w:instrText xml:space="preserve"> PAGEREF _Toc404940218 \h </w:instrText>
        </w:r>
        <w:r>
          <w:rPr>
            <w:noProof/>
            <w:webHidden/>
          </w:rPr>
        </w:r>
        <w:r>
          <w:rPr>
            <w:noProof/>
            <w:webHidden/>
          </w:rPr>
          <w:fldChar w:fldCharType="separate"/>
        </w:r>
        <w:r w:rsidR="002F21B9">
          <w:rPr>
            <w:noProof/>
            <w:webHidden/>
          </w:rPr>
          <w:t>89</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219" w:history="1">
        <w:r w:rsidR="00C03C1B" w:rsidRPr="005A08C7">
          <w:rPr>
            <w:rStyle w:val="Hyperlink"/>
            <w:noProof/>
          </w:rPr>
          <w:t>9.1</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Commercial/Technical  Formats T1-T9</w:t>
        </w:r>
        <w:r w:rsidR="00C03C1B">
          <w:rPr>
            <w:noProof/>
            <w:webHidden/>
          </w:rPr>
          <w:tab/>
        </w:r>
        <w:r>
          <w:rPr>
            <w:noProof/>
            <w:webHidden/>
          </w:rPr>
          <w:fldChar w:fldCharType="begin"/>
        </w:r>
        <w:r w:rsidR="00C03C1B">
          <w:rPr>
            <w:noProof/>
            <w:webHidden/>
          </w:rPr>
          <w:instrText xml:space="preserve"> PAGEREF _Toc404940219 \h </w:instrText>
        </w:r>
        <w:r>
          <w:rPr>
            <w:noProof/>
            <w:webHidden/>
          </w:rPr>
        </w:r>
        <w:r>
          <w:rPr>
            <w:noProof/>
            <w:webHidden/>
          </w:rPr>
          <w:fldChar w:fldCharType="separate"/>
        </w:r>
        <w:r w:rsidR="002F21B9">
          <w:rPr>
            <w:noProof/>
            <w:webHidden/>
          </w:rPr>
          <w:t>90</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220" w:history="1">
        <w:r w:rsidR="00C03C1B" w:rsidRPr="005A08C7">
          <w:rPr>
            <w:rStyle w:val="Hyperlink"/>
            <w:noProof/>
          </w:rPr>
          <w:t>9.2</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Financial Formats F1-F27</w:t>
        </w:r>
        <w:r w:rsidR="00C03C1B">
          <w:rPr>
            <w:noProof/>
            <w:webHidden/>
          </w:rPr>
          <w:tab/>
        </w:r>
        <w:r>
          <w:rPr>
            <w:noProof/>
            <w:webHidden/>
          </w:rPr>
          <w:fldChar w:fldCharType="begin"/>
        </w:r>
        <w:r w:rsidR="00C03C1B">
          <w:rPr>
            <w:noProof/>
            <w:webHidden/>
          </w:rPr>
          <w:instrText xml:space="preserve"> PAGEREF _Toc404940220 \h </w:instrText>
        </w:r>
        <w:r>
          <w:rPr>
            <w:noProof/>
            <w:webHidden/>
          </w:rPr>
        </w:r>
        <w:r>
          <w:rPr>
            <w:noProof/>
            <w:webHidden/>
          </w:rPr>
          <w:fldChar w:fldCharType="separate"/>
        </w:r>
        <w:r w:rsidR="002F21B9">
          <w:rPr>
            <w:noProof/>
            <w:webHidden/>
          </w:rPr>
          <w:t>90</w:t>
        </w:r>
        <w:r>
          <w:rPr>
            <w:noProof/>
            <w:webHidden/>
          </w:rPr>
          <w:fldChar w:fldCharType="end"/>
        </w:r>
      </w:hyperlink>
    </w:p>
    <w:p w:rsidR="00C03C1B" w:rsidRDefault="00291770">
      <w:pPr>
        <w:pStyle w:val="TOC1"/>
        <w:tabs>
          <w:tab w:val="left" w:pos="660"/>
          <w:tab w:val="right" w:leader="dot" w:pos="9305"/>
        </w:tabs>
        <w:rPr>
          <w:rFonts w:asciiTheme="minorHAnsi" w:eastAsiaTheme="minorEastAsia" w:hAnsiTheme="minorHAnsi" w:cstheme="minorBidi"/>
          <w:noProof/>
          <w:sz w:val="22"/>
          <w:szCs w:val="22"/>
          <w:lang w:val="en-IN" w:eastAsia="en-IN"/>
        </w:rPr>
      </w:pPr>
      <w:hyperlink w:anchor="_Toc404940221" w:history="1">
        <w:r w:rsidR="00C03C1B" w:rsidRPr="005A08C7">
          <w:rPr>
            <w:rStyle w:val="Hyperlink"/>
            <w:noProof/>
          </w:rPr>
          <w:t>9.3</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Details Performance Formats (P1-P17) in Vol- II</w:t>
        </w:r>
        <w:r w:rsidR="00C03C1B">
          <w:rPr>
            <w:noProof/>
            <w:webHidden/>
          </w:rPr>
          <w:tab/>
        </w:r>
        <w:r>
          <w:rPr>
            <w:noProof/>
            <w:webHidden/>
          </w:rPr>
          <w:fldChar w:fldCharType="begin"/>
        </w:r>
        <w:r w:rsidR="00C03C1B">
          <w:rPr>
            <w:noProof/>
            <w:webHidden/>
          </w:rPr>
          <w:instrText xml:space="preserve"> PAGEREF _Toc404940221 \h </w:instrText>
        </w:r>
        <w:r>
          <w:rPr>
            <w:noProof/>
            <w:webHidden/>
          </w:rPr>
        </w:r>
        <w:r>
          <w:rPr>
            <w:noProof/>
            <w:webHidden/>
          </w:rPr>
          <w:fldChar w:fldCharType="separate"/>
        </w:r>
        <w:r w:rsidR="002F21B9">
          <w:rPr>
            <w:noProof/>
            <w:webHidden/>
          </w:rPr>
          <w:t>90</w:t>
        </w:r>
        <w:r>
          <w:rPr>
            <w:noProof/>
            <w:webHidden/>
          </w:rPr>
          <w:fldChar w:fldCharType="end"/>
        </w:r>
      </w:hyperlink>
    </w:p>
    <w:p w:rsidR="00C03C1B" w:rsidRDefault="00291770">
      <w:pPr>
        <w:pStyle w:val="TOC1"/>
        <w:tabs>
          <w:tab w:val="left" w:pos="480"/>
          <w:tab w:val="right" w:leader="dot" w:pos="9305"/>
        </w:tabs>
        <w:rPr>
          <w:rFonts w:asciiTheme="minorHAnsi" w:eastAsiaTheme="minorEastAsia" w:hAnsiTheme="minorHAnsi" w:cstheme="minorBidi"/>
          <w:noProof/>
          <w:sz w:val="22"/>
          <w:szCs w:val="22"/>
          <w:lang w:val="en-IN" w:eastAsia="en-IN"/>
        </w:rPr>
      </w:pPr>
      <w:hyperlink w:anchor="_Toc404940222" w:history="1">
        <w:r w:rsidR="00C03C1B" w:rsidRPr="005A08C7">
          <w:rPr>
            <w:rStyle w:val="Hyperlink"/>
            <w:noProof/>
          </w:rPr>
          <w:t>10</w:t>
        </w:r>
        <w:r w:rsidR="00C03C1B">
          <w:rPr>
            <w:rFonts w:asciiTheme="minorHAnsi" w:eastAsiaTheme="minorEastAsia" w:hAnsiTheme="minorHAnsi" w:cstheme="minorBidi"/>
            <w:noProof/>
            <w:sz w:val="22"/>
            <w:szCs w:val="22"/>
            <w:lang w:val="en-IN" w:eastAsia="en-IN"/>
          </w:rPr>
          <w:tab/>
        </w:r>
        <w:r w:rsidR="00C03C1B" w:rsidRPr="005A08C7">
          <w:rPr>
            <w:rStyle w:val="Hyperlink"/>
            <w:noProof/>
          </w:rPr>
          <w:t>Prayer</w:t>
        </w:r>
        <w:r w:rsidR="00C03C1B">
          <w:rPr>
            <w:noProof/>
            <w:webHidden/>
          </w:rPr>
          <w:tab/>
        </w:r>
        <w:r>
          <w:rPr>
            <w:noProof/>
            <w:webHidden/>
          </w:rPr>
          <w:fldChar w:fldCharType="begin"/>
        </w:r>
        <w:r w:rsidR="00C03C1B">
          <w:rPr>
            <w:noProof/>
            <w:webHidden/>
          </w:rPr>
          <w:instrText xml:space="preserve"> PAGEREF _Toc404940222 \h </w:instrText>
        </w:r>
        <w:r>
          <w:rPr>
            <w:noProof/>
            <w:webHidden/>
          </w:rPr>
        </w:r>
        <w:r>
          <w:rPr>
            <w:noProof/>
            <w:webHidden/>
          </w:rPr>
          <w:fldChar w:fldCharType="separate"/>
        </w:r>
        <w:r w:rsidR="002F21B9">
          <w:rPr>
            <w:noProof/>
            <w:webHidden/>
          </w:rPr>
          <w:t>90</w:t>
        </w:r>
        <w:r>
          <w:rPr>
            <w:noProof/>
            <w:webHidden/>
          </w:rPr>
          <w:fldChar w:fldCharType="end"/>
        </w:r>
      </w:hyperlink>
    </w:p>
    <w:p w:rsidR="000B7BB6" w:rsidRPr="00BF0E9D" w:rsidRDefault="00291770" w:rsidP="00B91F1C">
      <w:pPr>
        <w:spacing w:line="360" w:lineRule="auto"/>
        <w:jc w:val="both"/>
        <w:rPr>
          <w:rFonts w:ascii="Cambria" w:hAnsi="Cambria" w:cs="Arial"/>
        </w:rPr>
      </w:pPr>
      <w:r w:rsidRPr="00BF0E9D">
        <w:rPr>
          <w:rFonts w:ascii="Cambria" w:hAnsi="Cambria" w:cs="Arial"/>
          <w:highlight w:val="yellow"/>
        </w:rPr>
        <w:fldChar w:fldCharType="end"/>
      </w:r>
    </w:p>
    <w:p w:rsidR="001E5BAB" w:rsidRDefault="001E5BAB" w:rsidP="00B91F1C">
      <w:pPr>
        <w:spacing w:line="360" w:lineRule="auto"/>
        <w:jc w:val="both"/>
        <w:rPr>
          <w:rFonts w:ascii="Cambria" w:hAnsi="Cambria" w:cs="Arial"/>
        </w:rPr>
      </w:pPr>
    </w:p>
    <w:p w:rsidR="005E1215" w:rsidRPr="00BF0E9D" w:rsidRDefault="005E1215" w:rsidP="00B91F1C">
      <w:pPr>
        <w:spacing w:line="360" w:lineRule="auto"/>
        <w:jc w:val="both"/>
        <w:rPr>
          <w:rFonts w:ascii="Cambria" w:hAnsi="Cambria" w:cs="Arial"/>
        </w:rPr>
      </w:pPr>
    </w:p>
    <w:p w:rsidR="00EB59EB" w:rsidRDefault="00BF0E9D" w:rsidP="00EB59EB">
      <w:pPr>
        <w:pStyle w:val="Heading1"/>
        <w:numPr>
          <w:ilvl w:val="0"/>
          <w:numId w:val="1"/>
        </w:numPr>
        <w:spacing w:line="360" w:lineRule="auto"/>
        <w:jc w:val="both"/>
        <w:rPr>
          <w:rFonts w:ascii="Cambria" w:hAnsi="Cambria"/>
          <w:sz w:val="24"/>
          <w:szCs w:val="24"/>
        </w:rPr>
      </w:pPr>
      <w:bookmarkStart w:id="0" w:name="_Toc404940130"/>
      <w:r w:rsidRPr="00BF0E9D">
        <w:rPr>
          <w:rFonts w:ascii="Cambria" w:hAnsi="Cambria"/>
          <w:sz w:val="24"/>
          <w:szCs w:val="24"/>
        </w:rPr>
        <w:lastRenderedPageBreak/>
        <w:t>Executive Summary</w:t>
      </w:r>
      <w:bookmarkEnd w:id="0"/>
    </w:p>
    <w:p w:rsidR="00D078B7" w:rsidRPr="00EA3913" w:rsidRDefault="00D078B7" w:rsidP="00EB59EB">
      <w:pPr>
        <w:pStyle w:val="ARR-normalbody"/>
      </w:pPr>
      <w:r w:rsidRPr="00EA3913">
        <w:t>North Eastern Electricity Supply Company of Odisha Limited, Balasorer (hereinafter referred to as “</w:t>
      </w:r>
      <w:r w:rsidRPr="009912CC">
        <w:t>NESCO”)</w:t>
      </w:r>
      <w:r w:rsidRPr="00EA3913">
        <w:t>, is a company incorporated under the Companies Act 1956 and is a Distribution and Retail Supply licensee, in the state of Odisha, and has been carrying out the business of distribution and retail supply of electricity in the five districts of Odisha, namely, Balasore, Bhadrak, Jajpur ,Keonjhar and Mayurbhanj with an aggregate population of   99.97 lakhs over an area of supply of 28,037 Sq kms. This submission is made by the licensee to the Honourable Commission for the determination of Annual Revenue Requirement and the Retail Supply Tariffs for the Financial Year 2015-16.</w:t>
      </w:r>
    </w:p>
    <w:p w:rsidR="00206E77" w:rsidRPr="00EA3913" w:rsidRDefault="00206E77" w:rsidP="00206E77">
      <w:pPr>
        <w:pStyle w:val="ARR-normalbody"/>
        <w:rPr>
          <w:color w:val="000000"/>
        </w:rPr>
      </w:pPr>
      <w:r w:rsidRPr="00EA3913">
        <w:rPr>
          <w:color w:val="000000"/>
        </w:rPr>
        <w:t>It is submitted that</w:t>
      </w:r>
      <w:r w:rsidR="00A50F3E">
        <w:rPr>
          <w:color w:val="000000"/>
        </w:rPr>
        <w:t>,</w:t>
      </w:r>
      <w:r w:rsidRPr="00EA3913">
        <w:rPr>
          <w:color w:val="000000"/>
        </w:rPr>
        <w:t xml:space="preserve"> the current year has been a year of action and events. The licensee has been able to charge all the villages electrified under RGGVY </w:t>
      </w:r>
      <w:r w:rsidR="009912CC">
        <w:rPr>
          <w:color w:val="000000"/>
        </w:rPr>
        <w:t>S</w:t>
      </w:r>
      <w:r w:rsidRPr="00EA3913">
        <w:rPr>
          <w:color w:val="000000"/>
        </w:rPr>
        <w:t>cheme</w:t>
      </w:r>
      <w:r w:rsidR="009912CC">
        <w:rPr>
          <w:color w:val="000000"/>
        </w:rPr>
        <w:t>,</w:t>
      </w:r>
      <w:r w:rsidRPr="00EA3913">
        <w:rPr>
          <w:color w:val="000000"/>
        </w:rPr>
        <w:t xml:space="preserve"> which is coming to an end on 31st March 2015. Consequently in the process of adding 4 lakhs </w:t>
      </w:r>
      <w:r w:rsidR="00A50F3E">
        <w:rPr>
          <w:color w:val="000000"/>
        </w:rPr>
        <w:t xml:space="preserve">new </w:t>
      </w:r>
      <w:r w:rsidRPr="00EA3913">
        <w:rPr>
          <w:color w:val="000000"/>
        </w:rPr>
        <w:t>consumers into the billing fold, the licensee has also initiated implementation of in-house developed mobile phone based billing system, meter reading and photo analysis of the  meter readings on monthly</w:t>
      </w:r>
      <w:r w:rsidR="00A50F3E">
        <w:rPr>
          <w:color w:val="000000"/>
        </w:rPr>
        <w:t xml:space="preserve"> /</w:t>
      </w:r>
      <w:r w:rsidRPr="00EA3913">
        <w:rPr>
          <w:color w:val="000000"/>
        </w:rPr>
        <w:t xml:space="preserve"> daily basis. Besides, installation of pre-paid metering as per direction of Hon’ble Commission, the licensee has installed 490 smart meters</w:t>
      </w:r>
      <w:r w:rsidR="00A50F3E">
        <w:rPr>
          <w:color w:val="000000"/>
        </w:rPr>
        <w:t xml:space="preserve"> till now</w:t>
      </w:r>
      <w:r w:rsidRPr="00EA3913">
        <w:rPr>
          <w:color w:val="000000"/>
        </w:rPr>
        <w:t xml:space="preserve">. </w:t>
      </w:r>
    </w:p>
    <w:p w:rsidR="00206E77" w:rsidRPr="00EA3913" w:rsidRDefault="00206E77" w:rsidP="00206E77">
      <w:pPr>
        <w:autoSpaceDE w:val="0"/>
        <w:autoSpaceDN w:val="0"/>
        <w:adjustRightInd w:val="0"/>
        <w:spacing w:after="240" w:line="360" w:lineRule="auto"/>
        <w:ind w:left="360"/>
        <w:jc w:val="both"/>
        <w:rPr>
          <w:rFonts w:ascii="Arial" w:hAnsi="Arial" w:cs="Arial"/>
          <w:color w:val="000000"/>
          <w:sz w:val="22"/>
          <w:szCs w:val="22"/>
          <w:lang w:val="en-GB"/>
        </w:rPr>
      </w:pPr>
      <w:r w:rsidRPr="00EA3913">
        <w:rPr>
          <w:rFonts w:ascii="Arial" w:hAnsi="Arial" w:cs="Arial"/>
          <w:color w:val="000000"/>
          <w:sz w:val="22"/>
          <w:szCs w:val="22"/>
          <w:lang w:val="en-GB"/>
        </w:rPr>
        <w:t xml:space="preserve">That, the Licensee in accordance with the license conditions, have calculated the total expected revenue from sale of electricity charges in accordance with the provisions of Section 5 Chapter 3 of the OERC (Terms and Conditions for determination of tariff) Regulations 2004 and </w:t>
      </w:r>
      <w:r w:rsidR="00BA65B8">
        <w:rPr>
          <w:rFonts w:ascii="Arial" w:hAnsi="Arial" w:cs="Arial"/>
          <w:color w:val="000000"/>
          <w:sz w:val="22"/>
          <w:szCs w:val="22"/>
          <w:lang w:val="en-GB"/>
        </w:rPr>
        <w:t xml:space="preserve">is </w:t>
      </w:r>
      <w:r w:rsidRPr="00EA3913">
        <w:rPr>
          <w:rFonts w:ascii="Arial" w:hAnsi="Arial" w:cs="Arial"/>
          <w:color w:val="000000"/>
          <w:sz w:val="22"/>
          <w:szCs w:val="22"/>
          <w:lang w:val="en-GB"/>
        </w:rPr>
        <w:t xml:space="preserve">hereby submitting in the </w:t>
      </w:r>
      <w:r w:rsidR="00BA65B8">
        <w:rPr>
          <w:rFonts w:ascii="Arial" w:hAnsi="Arial" w:cs="Arial"/>
          <w:color w:val="000000"/>
          <w:sz w:val="22"/>
          <w:szCs w:val="22"/>
          <w:lang w:val="en-GB"/>
        </w:rPr>
        <w:t xml:space="preserve">following </w:t>
      </w:r>
      <w:r w:rsidRPr="00EA3913">
        <w:rPr>
          <w:rFonts w:ascii="Arial" w:hAnsi="Arial" w:cs="Arial"/>
          <w:color w:val="000000"/>
          <w:sz w:val="22"/>
          <w:szCs w:val="22"/>
          <w:lang w:val="en-GB"/>
        </w:rPr>
        <w:t>paragraphs as per the structure</w:t>
      </w:r>
      <w:r w:rsidR="00BA65B8">
        <w:rPr>
          <w:rFonts w:ascii="Arial" w:hAnsi="Arial" w:cs="Arial"/>
          <w:color w:val="000000"/>
          <w:sz w:val="22"/>
          <w:szCs w:val="22"/>
          <w:lang w:val="en-GB"/>
        </w:rPr>
        <w:t xml:space="preserve"> enumerated below</w:t>
      </w:r>
      <w:r w:rsidRPr="00EA3913">
        <w:rPr>
          <w:rFonts w:ascii="Arial" w:hAnsi="Arial" w:cs="Arial"/>
          <w:color w:val="000000"/>
          <w:sz w:val="22"/>
          <w:szCs w:val="22"/>
          <w:lang w:val="en-GB"/>
        </w:rPr>
        <w:t>.</w:t>
      </w:r>
    </w:p>
    <w:p w:rsidR="00206E77" w:rsidRPr="00EA3913" w:rsidRDefault="00206E77" w:rsidP="00206E77">
      <w:pPr>
        <w:numPr>
          <w:ilvl w:val="0"/>
          <w:numId w:val="31"/>
        </w:numPr>
        <w:autoSpaceDE w:val="0"/>
        <w:autoSpaceDN w:val="0"/>
        <w:adjustRightInd w:val="0"/>
        <w:spacing w:line="360" w:lineRule="auto"/>
        <w:jc w:val="both"/>
        <w:rPr>
          <w:rFonts w:ascii="Arial" w:hAnsi="Arial" w:cs="Arial"/>
          <w:color w:val="000000"/>
          <w:sz w:val="22"/>
          <w:szCs w:val="22"/>
          <w:lang w:val="en-GB"/>
        </w:rPr>
      </w:pPr>
      <w:r w:rsidRPr="00EA3913">
        <w:rPr>
          <w:rFonts w:ascii="Arial" w:hAnsi="Arial" w:cs="Arial"/>
          <w:color w:val="000000"/>
          <w:sz w:val="22"/>
          <w:szCs w:val="22"/>
          <w:lang w:val="en-GB"/>
        </w:rPr>
        <w:t xml:space="preserve">A statement with full details of its expected annual revenue and costs for the ensuing year FY </w:t>
      </w:r>
      <w:r w:rsidR="00BA65B8">
        <w:rPr>
          <w:rFonts w:ascii="Arial" w:hAnsi="Arial" w:cs="Arial"/>
          <w:color w:val="000000"/>
          <w:sz w:val="22"/>
          <w:szCs w:val="22"/>
          <w:lang w:val="en-GB"/>
        </w:rPr>
        <w:t>20</w:t>
      </w:r>
      <w:r w:rsidRPr="00EA3913">
        <w:rPr>
          <w:rFonts w:ascii="Arial" w:hAnsi="Arial" w:cs="Arial"/>
          <w:color w:val="000000"/>
          <w:sz w:val="22"/>
          <w:szCs w:val="22"/>
          <w:lang w:val="en-GB"/>
        </w:rPr>
        <w:t xml:space="preserve">15-16 for its </w:t>
      </w:r>
      <w:r w:rsidR="00BA65B8">
        <w:rPr>
          <w:rFonts w:ascii="Arial" w:hAnsi="Arial" w:cs="Arial"/>
          <w:color w:val="000000"/>
          <w:sz w:val="22"/>
          <w:szCs w:val="22"/>
          <w:lang w:val="en-GB"/>
        </w:rPr>
        <w:t>l</w:t>
      </w:r>
      <w:r w:rsidRPr="00EA3913">
        <w:rPr>
          <w:rFonts w:ascii="Arial" w:hAnsi="Arial" w:cs="Arial"/>
          <w:color w:val="000000"/>
          <w:sz w:val="22"/>
          <w:szCs w:val="22"/>
          <w:lang w:val="en-GB"/>
        </w:rPr>
        <w:t xml:space="preserve">icensed </w:t>
      </w:r>
      <w:r w:rsidR="00BA65B8">
        <w:rPr>
          <w:rFonts w:ascii="Arial" w:hAnsi="Arial" w:cs="Arial"/>
          <w:color w:val="000000"/>
          <w:sz w:val="22"/>
          <w:szCs w:val="22"/>
          <w:lang w:val="en-GB"/>
        </w:rPr>
        <w:t>b</w:t>
      </w:r>
      <w:r w:rsidRPr="00EA3913">
        <w:rPr>
          <w:rFonts w:ascii="Arial" w:hAnsi="Arial" w:cs="Arial"/>
          <w:color w:val="000000"/>
          <w:sz w:val="22"/>
          <w:szCs w:val="22"/>
          <w:lang w:val="en-GB"/>
        </w:rPr>
        <w:t>usiness along with technical, commercial and financial parameters in the formats prescribed by the Hon’ble Commission.</w:t>
      </w:r>
    </w:p>
    <w:p w:rsidR="00206E77" w:rsidRPr="00EA3913" w:rsidRDefault="00206E77" w:rsidP="00206E77">
      <w:pPr>
        <w:numPr>
          <w:ilvl w:val="0"/>
          <w:numId w:val="31"/>
        </w:numPr>
        <w:autoSpaceDE w:val="0"/>
        <w:autoSpaceDN w:val="0"/>
        <w:adjustRightInd w:val="0"/>
        <w:spacing w:line="360" w:lineRule="auto"/>
        <w:jc w:val="both"/>
        <w:rPr>
          <w:rFonts w:ascii="Arial" w:hAnsi="Arial" w:cs="Arial"/>
          <w:color w:val="000000"/>
          <w:sz w:val="22"/>
          <w:szCs w:val="22"/>
          <w:lang w:val="en-GB"/>
        </w:rPr>
      </w:pPr>
      <w:r w:rsidRPr="00EA3913">
        <w:rPr>
          <w:rFonts w:ascii="Arial" w:hAnsi="Arial" w:cs="Arial"/>
          <w:color w:val="000000"/>
          <w:sz w:val="22"/>
          <w:szCs w:val="22"/>
          <w:lang w:val="en-GB"/>
        </w:rPr>
        <w:t xml:space="preserve">Initiatives of </w:t>
      </w:r>
      <w:r w:rsidR="00E60AB1">
        <w:rPr>
          <w:rFonts w:ascii="Arial" w:hAnsi="Arial" w:cs="Arial"/>
          <w:color w:val="000000"/>
          <w:sz w:val="22"/>
          <w:szCs w:val="22"/>
          <w:lang w:val="en-GB"/>
        </w:rPr>
        <w:t>Licensee</w:t>
      </w:r>
    </w:p>
    <w:p w:rsidR="00206E77" w:rsidRPr="00EA3913" w:rsidRDefault="00206E77" w:rsidP="00206E77">
      <w:pPr>
        <w:numPr>
          <w:ilvl w:val="0"/>
          <w:numId w:val="31"/>
        </w:numPr>
        <w:autoSpaceDE w:val="0"/>
        <w:autoSpaceDN w:val="0"/>
        <w:adjustRightInd w:val="0"/>
        <w:spacing w:line="360" w:lineRule="auto"/>
        <w:jc w:val="both"/>
        <w:rPr>
          <w:rFonts w:ascii="Arial" w:hAnsi="Arial" w:cs="Arial"/>
          <w:color w:val="000000"/>
          <w:sz w:val="22"/>
          <w:szCs w:val="22"/>
          <w:lang w:val="en-GB"/>
        </w:rPr>
      </w:pPr>
      <w:r w:rsidRPr="00EA3913">
        <w:rPr>
          <w:rFonts w:ascii="Arial" w:hAnsi="Arial" w:cs="Arial"/>
          <w:color w:val="000000"/>
          <w:sz w:val="22"/>
          <w:szCs w:val="22"/>
          <w:lang w:val="en-GB"/>
        </w:rPr>
        <w:t>Concerns</w:t>
      </w:r>
    </w:p>
    <w:p w:rsidR="00206E77" w:rsidRDefault="00206E77" w:rsidP="00206E77">
      <w:pPr>
        <w:numPr>
          <w:ilvl w:val="0"/>
          <w:numId w:val="31"/>
        </w:numPr>
        <w:autoSpaceDE w:val="0"/>
        <w:autoSpaceDN w:val="0"/>
        <w:adjustRightInd w:val="0"/>
        <w:spacing w:line="360" w:lineRule="auto"/>
        <w:jc w:val="both"/>
        <w:rPr>
          <w:rFonts w:ascii="Arial" w:hAnsi="Arial" w:cs="Arial"/>
          <w:color w:val="000000"/>
          <w:sz w:val="22"/>
          <w:szCs w:val="22"/>
          <w:lang w:val="en-GB"/>
        </w:rPr>
      </w:pPr>
      <w:r w:rsidRPr="00EA3913">
        <w:rPr>
          <w:rFonts w:ascii="Arial" w:hAnsi="Arial" w:cs="Arial"/>
          <w:color w:val="000000"/>
          <w:sz w:val="22"/>
          <w:szCs w:val="22"/>
          <w:lang w:val="en-GB"/>
        </w:rPr>
        <w:t xml:space="preserve">Compliance of the directives issued by the Hon’ble Commission. </w:t>
      </w:r>
    </w:p>
    <w:p w:rsidR="00206E77" w:rsidRDefault="00206E77" w:rsidP="00206E77">
      <w:pPr>
        <w:numPr>
          <w:ilvl w:val="1"/>
          <w:numId w:val="2"/>
        </w:numPr>
        <w:autoSpaceDE w:val="0"/>
        <w:autoSpaceDN w:val="0"/>
        <w:adjustRightInd w:val="0"/>
        <w:spacing w:after="240" w:line="360" w:lineRule="auto"/>
        <w:jc w:val="both"/>
        <w:rPr>
          <w:rFonts w:ascii="Arial" w:hAnsi="Arial" w:cs="Arial"/>
          <w:color w:val="000000"/>
          <w:sz w:val="22"/>
          <w:szCs w:val="22"/>
          <w:lang w:val="en-GB"/>
        </w:rPr>
      </w:pPr>
      <w:r w:rsidRPr="00264614">
        <w:rPr>
          <w:rFonts w:ascii="Arial" w:hAnsi="Arial" w:cs="Arial"/>
          <w:color w:val="000000"/>
          <w:sz w:val="22"/>
          <w:szCs w:val="22"/>
          <w:lang w:val="en-GB"/>
        </w:rPr>
        <w:t>While complying the ARR, the</w:t>
      </w:r>
      <w:r w:rsidRPr="00EA3913">
        <w:rPr>
          <w:rFonts w:ascii="Arial" w:hAnsi="Arial" w:cs="Arial"/>
          <w:color w:val="000000"/>
          <w:sz w:val="22"/>
          <w:szCs w:val="22"/>
          <w:lang w:val="en-GB"/>
        </w:rPr>
        <w:t xml:space="preserve"> licensee has adopted the AT</w:t>
      </w:r>
      <w:r w:rsidR="00264614">
        <w:rPr>
          <w:rFonts w:ascii="Arial" w:hAnsi="Arial" w:cs="Arial"/>
          <w:color w:val="000000"/>
          <w:sz w:val="22"/>
          <w:szCs w:val="22"/>
          <w:lang w:val="en-GB"/>
        </w:rPr>
        <w:t xml:space="preserve"> </w:t>
      </w:r>
      <w:r w:rsidRPr="00EA3913">
        <w:rPr>
          <w:rFonts w:ascii="Arial" w:hAnsi="Arial" w:cs="Arial"/>
          <w:color w:val="000000"/>
          <w:sz w:val="22"/>
          <w:szCs w:val="22"/>
          <w:lang w:val="en-GB"/>
        </w:rPr>
        <w:t xml:space="preserve">&amp; C loss reduction trajectory of the Ministry of Power, Govt. of India communicated through the Govt of Odisha, for the period FY </w:t>
      </w:r>
      <w:r w:rsidR="00BA65B8">
        <w:rPr>
          <w:rFonts w:ascii="Arial" w:hAnsi="Arial" w:cs="Arial"/>
          <w:color w:val="000000"/>
          <w:sz w:val="22"/>
          <w:szCs w:val="22"/>
          <w:lang w:val="en-GB"/>
        </w:rPr>
        <w:t>20</w:t>
      </w:r>
      <w:r w:rsidRPr="00EA3913">
        <w:rPr>
          <w:rFonts w:ascii="Arial" w:hAnsi="Arial" w:cs="Arial"/>
          <w:color w:val="000000"/>
          <w:sz w:val="22"/>
          <w:szCs w:val="22"/>
          <w:lang w:val="en-GB"/>
        </w:rPr>
        <w:t xml:space="preserve">14 to FY </w:t>
      </w:r>
      <w:r w:rsidR="00BA65B8">
        <w:rPr>
          <w:rFonts w:ascii="Arial" w:hAnsi="Arial" w:cs="Arial"/>
          <w:color w:val="000000"/>
          <w:sz w:val="22"/>
          <w:szCs w:val="22"/>
          <w:lang w:val="en-GB"/>
        </w:rPr>
        <w:t>20</w:t>
      </w:r>
      <w:r w:rsidR="00264614">
        <w:rPr>
          <w:rFonts w:ascii="Arial" w:hAnsi="Arial" w:cs="Arial"/>
          <w:color w:val="000000"/>
          <w:sz w:val="22"/>
          <w:szCs w:val="22"/>
          <w:lang w:val="en-GB"/>
        </w:rPr>
        <w:t>22.The year wise AT &amp; C Loss reduction trajectory is given below.</w:t>
      </w:r>
    </w:p>
    <w:tbl>
      <w:tblPr>
        <w:tblW w:w="9756" w:type="dxa"/>
        <w:tblInd w:w="91" w:type="dxa"/>
        <w:tblLook w:val="04A0"/>
      </w:tblPr>
      <w:tblGrid>
        <w:gridCol w:w="1356"/>
        <w:gridCol w:w="1050"/>
        <w:gridCol w:w="1050"/>
        <w:gridCol w:w="1050"/>
        <w:gridCol w:w="1050"/>
        <w:gridCol w:w="1050"/>
        <w:gridCol w:w="1050"/>
        <w:gridCol w:w="1050"/>
        <w:gridCol w:w="1050"/>
      </w:tblGrid>
      <w:tr w:rsidR="00A50F3E" w:rsidRPr="00A50F3E" w:rsidTr="00A50F3E">
        <w:trPr>
          <w:trHeight w:val="290"/>
        </w:trPr>
        <w:tc>
          <w:tcPr>
            <w:tcW w:w="1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0F3E" w:rsidRPr="00A50F3E" w:rsidRDefault="00A50F3E" w:rsidP="00A50F3E">
            <w:pPr>
              <w:rPr>
                <w:rFonts w:ascii="Arial" w:hAnsi="Arial" w:cs="Arial"/>
                <w:sz w:val="20"/>
                <w:szCs w:val="20"/>
                <w:lang w:val="en-IN" w:eastAsia="en-IN"/>
              </w:rPr>
            </w:pPr>
            <w:r w:rsidRPr="00A50F3E">
              <w:rPr>
                <w:rFonts w:ascii="Arial" w:hAnsi="Arial" w:cs="Arial"/>
                <w:sz w:val="20"/>
                <w:szCs w:val="20"/>
                <w:lang w:val="en-IN" w:eastAsia="en-IN"/>
              </w:rPr>
              <w:t>Year</w:t>
            </w:r>
          </w:p>
        </w:tc>
        <w:tc>
          <w:tcPr>
            <w:tcW w:w="1050" w:type="dxa"/>
            <w:tcBorders>
              <w:top w:val="single" w:sz="4" w:space="0" w:color="auto"/>
              <w:left w:val="nil"/>
              <w:bottom w:val="single" w:sz="4" w:space="0" w:color="auto"/>
              <w:right w:val="single" w:sz="4" w:space="0" w:color="auto"/>
            </w:tcBorders>
            <w:shd w:val="clear" w:color="auto" w:fill="auto"/>
            <w:noWrap/>
            <w:vAlign w:val="bottom"/>
            <w:hideMark/>
          </w:tcPr>
          <w:p w:rsidR="00A50F3E" w:rsidRPr="00A50F3E" w:rsidRDefault="00A50F3E" w:rsidP="00A50F3E">
            <w:pPr>
              <w:jc w:val="center"/>
              <w:rPr>
                <w:rFonts w:ascii="Arial" w:hAnsi="Arial" w:cs="Arial"/>
                <w:sz w:val="20"/>
                <w:szCs w:val="20"/>
                <w:lang w:val="en-IN" w:eastAsia="en-IN"/>
              </w:rPr>
            </w:pPr>
            <w:r w:rsidRPr="00A50F3E">
              <w:rPr>
                <w:rFonts w:ascii="Arial" w:hAnsi="Arial" w:cs="Arial"/>
                <w:sz w:val="20"/>
                <w:szCs w:val="20"/>
                <w:lang w:val="en-IN" w:eastAsia="en-IN"/>
              </w:rPr>
              <w:t>2014-15</w:t>
            </w:r>
          </w:p>
        </w:tc>
        <w:tc>
          <w:tcPr>
            <w:tcW w:w="1050" w:type="dxa"/>
            <w:tcBorders>
              <w:top w:val="single" w:sz="4" w:space="0" w:color="auto"/>
              <w:left w:val="nil"/>
              <w:bottom w:val="single" w:sz="4" w:space="0" w:color="auto"/>
              <w:right w:val="single" w:sz="4" w:space="0" w:color="auto"/>
            </w:tcBorders>
            <w:shd w:val="clear" w:color="auto" w:fill="auto"/>
            <w:noWrap/>
            <w:vAlign w:val="bottom"/>
            <w:hideMark/>
          </w:tcPr>
          <w:p w:rsidR="00A50F3E" w:rsidRPr="00A50F3E" w:rsidRDefault="00A50F3E" w:rsidP="00A50F3E">
            <w:pPr>
              <w:jc w:val="center"/>
              <w:rPr>
                <w:rFonts w:ascii="Arial" w:hAnsi="Arial" w:cs="Arial"/>
                <w:sz w:val="20"/>
                <w:szCs w:val="20"/>
                <w:lang w:val="en-IN" w:eastAsia="en-IN"/>
              </w:rPr>
            </w:pPr>
            <w:r w:rsidRPr="00A50F3E">
              <w:rPr>
                <w:rFonts w:ascii="Arial" w:hAnsi="Arial" w:cs="Arial"/>
                <w:sz w:val="20"/>
                <w:szCs w:val="20"/>
                <w:lang w:val="en-IN" w:eastAsia="en-IN"/>
              </w:rPr>
              <w:t>2015-16</w:t>
            </w:r>
          </w:p>
        </w:tc>
        <w:tc>
          <w:tcPr>
            <w:tcW w:w="1050" w:type="dxa"/>
            <w:tcBorders>
              <w:top w:val="single" w:sz="4" w:space="0" w:color="auto"/>
              <w:left w:val="nil"/>
              <w:bottom w:val="single" w:sz="4" w:space="0" w:color="auto"/>
              <w:right w:val="single" w:sz="4" w:space="0" w:color="auto"/>
            </w:tcBorders>
            <w:shd w:val="clear" w:color="auto" w:fill="auto"/>
            <w:noWrap/>
            <w:vAlign w:val="bottom"/>
            <w:hideMark/>
          </w:tcPr>
          <w:p w:rsidR="00A50F3E" w:rsidRPr="00A50F3E" w:rsidRDefault="00A50F3E" w:rsidP="00A50F3E">
            <w:pPr>
              <w:jc w:val="center"/>
              <w:rPr>
                <w:rFonts w:ascii="Arial" w:hAnsi="Arial" w:cs="Arial"/>
                <w:sz w:val="20"/>
                <w:szCs w:val="20"/>
                <w:lang w:val="en-IN" w:eastAsia="en-IN"/>
              </w:rPr>
            </w:pPr>
            <w:r w:rsidRPr="00A50F3E">
              <w:rPr>
                <w:rFonts w:ascii="Arial" w:hAnsi="Arial" w:cs="Arial"/>
                <w:sz w:val="20"/>
                <w:szCs w:val="20"/>
                <w:lang w:val="en-IN" w:eastAsia="en-IN"/>
              </w:rPr>
              <w:t>2016-17</w:t>
            </w:r>
          </w:p>
        </w:tc>
        <w:tc>
          <w:tcPr>
            <w:tcW w:w="1050" w:type="dxa"/>
            <w:tcBorders>
              <w:top w:val="single" w:sz="4" w:space="0" w:color="auto"/>
              <w:left w:val="nil"/>
              <w:bottom w:val="single" w:sz="4" w:space="0" w:color="auto"/>
              <w:right w:val="single" w:sz="4" w:space="0" w:color="auto"/>
            </w:tcBorders>
            <w:shd w:val="clear" w:color="auto" w:fill="auto"/>
            <w:noWrap/>
            <w:vAlign w:val="bottom"/>
            <w:hideMark/>
          </w:tcPr>
          <w:p w:rsidR="00A50F3E" w:rsidRPr="00A50F3E" w:rsidRDefault="00A50F3E" w:rsidP="00A50F3E">
            <w:pPr>
              <w:jc w:val="center"/>
              <w:rPr>
                <w:rFonts w:ascii="Arial" w:hAnsi="Arial" w:cs="Arial"/>
                <w:sz w:val="20"/>
                <w:szCs w:val="20"/>
                <w:lang w:val="en-IN" w:eastAsia="en-IN"/>
              </w:rPr>
            </w:pPr>
            <w:r w:rsidRPr="00A50F3E">
              <w:rPr>
                <w:rFonts w:ascii="Arial" w:hAnsi="Arial" w:cs="Arial"/>
                <w:sz w:val="20"/>
                <w:szCs w:val="20"/>
                <w:lang w:val="en-IN" w:eastAsia="en-IN"/>
              </w:rPr>
              <w:t>2017-18</w:t>
            </w:r>
          </w:p>
        </w:tc>
        <w:tc>
          <w:tcPr>
            <w:tcW w:w="1050" w:type="dxa"/>
            <w:tcBorders>
              <w:top w:val="single" w:sz="4" w:space="0" w:color="auto"/>
              <w:left w:val="nil"/>
              <w:bottom w:val="single" w:sz="4" w:space="0" w:color="auto"/>
              <w:right w:val="single" w:sz="4" w:space="0" w:color="auto"/>
            </w:tcBorders>
            <w:shd w:val="clear" w:color="auto" w:fill="auto"/>
            <w:noWrap/>
            <w:vAlign w:val="bottom"/>
            <w:hideMark/>
          </w:tcPr>
          <w:p w:rsidR="00A50F3E" w:rsidRPr="00A50F3E" w:rsidRDefault="00A50F3E" w:rsidP="00A50F3E">
            <w:pPr>
              <w:jc w:val="center"/>
              <w:rPr>
                <w:rFonts w:ascii="Arial" w:hAnsi="Arial" w:cs="Arial"/>
                <w:sz w:val="20"/>
                <w:szCs w:val="20"/>
                <w:lang w:val="en-IN" w:eastAsia="en-IN"/>
              </w:rPr>
            </w:pPr>
            <w:r w:rsidRPr="00A50F3E">
              <w:rPr>
                <w:rFonts w:ascii="Arial" w:hAnsi="Arial" w:cs="Arial"/>
                <w:sz w:val="20"/>
                <w:szCs w:val="20"/>
                <w:lang w:val="en-IN" w:eastAsia="en-IN"/>
              </w:rPr>
              <w:t>2018-19</w:t>
            </w:r>
          </w:p>
        </w:tc>
        <w:tc>
          <w:tcPr>
            <w:tcW w:w="1050" w:type="dxa"/>
            <w:tcBorders>
              <w:top w:val="single" w:sz="4" w:space="0" w:color="auto"/>
              <w:left w:val="nil"/>
              <w:bottom w:val="single" w:sz="4" w:space="0" w:color="auto"/>
              <w:right w:val="single" w:sz="4" w:space="0" w:color="auto"/>
            </w:tcBorders>
            <w:shd w:val="clear" w:color="auto" w:fill="auto"/>
            <w:noWrap/>
            <w:vAlign w:val="bottom"/>
            <w:hideMark/>
          </w:tcPr>
          <w:p w:rsidR="00A50F3E" w:rsidRPr="00A50F3E" w:rsidRDefault="00A50F3E" w:rsidP="00A50F3E">
            <w:pPr>
              <w:jc w:val="center"/>
              <w:rPr>
                <w:rFonts w:ascii="Arial" w:hAnsi="Arial" w:cs="Arial"/>
                <w:sz w:val="20"/>
                <w:szCs w:val="20"/>
                <w:lang w:val="en-IN" w:eastAsia="en-IN"/>
              </w:rPr>
            </w:pPr>
            <w:r w:rsidRPr="00A50F3E">
              <w:rPr>
                <w:rFonts w:ascii="Arial" w:hAnsi="Arial" w:cs="Arial"/>
                <w:sz w:val="20"/>
                <w:szCs w:val="20"/>
                <w:lang w:val="en-IN" w:eastAsia="en-IN"/>
              </w:rPr>
              <w:t>2019-20</w:t>
            </w:r>
          </w:p>
        </w:tc>
        <w:tc>
          <w:tcPr>
            <w:tcW w:w="1050" w:type="dxa"/>
            <w:tcBorders>
              <w:top w:val="single" w:sz="4" w:space="0" w:color="auto"/>
              <w:left w:val="nil"/>
              <w:bottom w:val="single" w:sz="4" w:space="0" w:color="auto"/>
              <w:right w:val="single" w:sz="4" w:space="0" w:color="auto"/>
            </w:tcBorders>
            <w:shd w:val="clear" w:color="auto" w:fill="auto"/>
            <w:noWrap/>
            <w:vAlign w:val="bottom"/>
            <w:hideMark/>
          </w:tcPr>
          <w:p w:rsidR="00A50F3E" w:rsidRPr="00A50F3E" w:rsidRDefault="00A50F3E" w:rsidP="00A50F3E">
            <w:pPr>
              <w:jc w:val="center"/>
              <w:rPr>
                <w:rFonts w:ascii="Arial" w:hAnsi="Arial" w:cs="Arial"/>
                <w:sz w:val="20"/>
                <w:szCs w:val="20"/>
                <w:lang w:val="en-IN" w:eastAsia="en-IN"/>
              </w:rPr>
            </w:pPr>
            <w:r w:rsidRPr="00A50F3E">
              <w:rPr>
                <w:rFonts w:ascii="Arial" w:hAnsi="Arial" w:cs="Arial"/>
                <w:sz w:val="20"/>
                <w:szCs w:val="20"/>
                <w:lang w:val="en-IN" w:eastAsia="en-IN"/>
              </w:rPr>
              <w:t>2020-21</w:t>
            </w:r>
          </w:p>
        </w:tc>
        <w:tc>
          <w:tcPr>
            <w:tcW w:w="1050" w:type="dxa"/>
            <w:tcBorders>
              <w:top w:val="single" w:sz="4" w:space="0" w:color="auto"/>
              <w:left w:val="nil"/>
              <w:bottom w:val="single" w:sz="4" w:space="0" w:color="auto"/>
              <w:right w:val="single" w:sz="4" w:space="0" w:color="auto"/>
            </w:tcBorders>
            <w:shd w:val="clear" w:color="auto" w:fill="auto"/>
            <w:noWrap/>
            <w:vAlign w:val="bottom"/>
            <w:hideMark/>
          </w:tcPr>
          <w:p w:rsidR="00A50F3E" w:rsidRPr="00A50F3E" w:rsidRDefault="00A50F3E" w:rsidP="00A50F3E">
            <w:pPr>
              <w:jc w:val="center"/>
              <w:rPr>
                <w:rFonts w:ascii="Arial" w:hAnsi="Arial" w:cs="Arial"/>
                <w:sz w:val="20"/>
                <w:szCs w:val="20"/>
                <w:lang w:val="en-IN" w:eastAsia="en-IN"/>
              </w:rPr>
            </w:pPr>
            <w:r w:rsidRPr="00A50F3E">
              <w:rPr>
                <w:rFonts w:ascii="Arial" w:hAnsi="Arial" w:cs="Arial"/>
                <w:sz w:val="20"/>
                <w:szCs w:val="20"/>
                <w:lang w:val="en-IN" w:eastAsia="en-IN"/>
              </w:rPr>
              <w:t>2021-22</w:t>
            </w:r>
          </w:p>
        </w:tc>
      </w:tr>
      <w:tr w:rsidR="00A50F3E" w:rsidRPr="00A50F3E" w:rsidTr="00A50F3E">
        <w:trPr>
          <w:trHeight w:val="290"/>
        </w:trPr>
        <w:tc>
          <w:tcPr>
            <w:tcW w:w="1356" w:type="dxa"/>
            <w:tcBorders>
              <w:top w:val="nil"/>
              <w:left w:val="single" w:sz="4" w:space="0" w:color="auto"/>
              <w:bottom w:val="single" w:sz="4" w:space="0" w:color="auto"/>
              <w:right w:val="single" w:sz="4" w:space="0" w:color="auto"/>
            </w:tcBorders>
            <w:shd w:val="clear" w:color="auto" w:fill="auto"/>
            <w:noWrap/>
            <w:vAlign w:val="bottom"/>
            <w:hideMark/>
          </w:tcPr>
          <w:p w:rsidR="00A50F3E" w:rsidRPr="00A50F3E" w:rsidRDefault="00A50F3E" w:rsidP="00A50F3E">
            <w:pPr>
              <w:rPr>
                <w:rFonts w:ascii="Arial" w:hAnsi="Arial" w:cs="Arial"/>
                <w:sz w:val="20"/>
                <w:szCs w:val="20"/>
                <w:lang w:val="en-IN" w:eastAsia="en-IN"/>
              </w:rPr>
            </w:pPr>
            <w:r w:rsidRPr="00A50F3E">
              <w:rPr>
                <w:rFonts w:ascii="Arial" w:hAnsi="Arial" w:cs="Arial"/>
                <w:sz w:val="20"/>
                <w:szCs w:val="20"/>
                <w:lang w:val="en-IN" w:eastAsia="en-IN"/>
              </w:rPr>
              <w:t>AT &amp; C Loss</w:t>
            </w:r>
          </w:p>
        </w:tc>
        <w:tc>
          <w:tcPr>
            <w:tcW w:w="1050" w:type="dxa"/>
            <w:tcBorders>
              <w:top w:val="nil"/>
              <w:left w:val="nil"/>
              <w:bottom w:val="single" w:sz="4" w:space="0" w:color="auto"/>
              <w:right w:val="single" w:sz="4" w:space="0" w:color="auto"/>
            </w:tcBorders>
            <w:shd w:val="clear" w:color="auto" w:fill="auto"/>
            <w:noWrap/>
            <w:vAlign w:val="bottom"/>
            <w:hideMark/>
          </w:tcPr>
          <w:p w:rsidR="00A50F3E" w:rsidRPr="00A50F3E" w:rsidRDefault="00A50F3E" w:rsidP="00A50F3E">
            <w:pPr>
              <w:jc w:val="center"/>
              <w:rPr>
                <w:rFonts w:ascii="Arial" w:hAnsi="Arial" w:cs="Arial"/>
                <w:sz w:val="20"/>
                <w:szCs w:val="20"/>
                <w:lang w:val="en-IN" w:eastAsia="en-IN"/>
              </w:rPr>
            </w:pPr>
            <w:r w:rsidRPr="00A50F3E">
              <w:rPr>
                <w:rFonts w:ascii="Arial" w:hAnsi="Arial" w:cs="Arial"/>
                <w:sz w:val="20"/>
                <w:szCs w:val="20"/>
                <w:lang w:val="en-IN" w:eastAsia="en-IN"/>
              </w:rPr>
              <w:t>34.13%</w:t>
            </w:r>
          </w:p>
        </w:tc>
        <w:tc>
          <w:tcPr>
            <w:tcW w:w="1050" w:type="dxa"/>
            <w:tcBorders>
              <w:top w:val="nil"/>
              <w:left w:val="nil"/>
              <w:bottom w:val="single" w:sz="4" w:space="0" w:color="auto"/>
              <w:right w:val="single" w:sz="4" w:space="0" w:color="auto"/>
            </w:tcBorders>
            <w:shd w:val="clear" w:color="auto" w:fill="auto"/>
            <w:noWrap/>
            <w:vAlign w:val="bottom"/>
            <w:hideMark/>
          </w:tcPr>
          <w:p w:rsidR="00A50F3E" w:rsidRPr="00A50F3E" w:rsidRDefault="00A50F3E" w:rsidP="00A50F3E">
            <w:pPr>
              <w:jc w:val="center"/>
              <w:rPr>
                <w:rFonts w:ascii="Arial" w:hAnsi="Arial" w:cs="Arial"/>
                <w:sz w:val="20"/>
                <w:szCs w:val="20"/>
                <w:lang w:val="en-IN" w:eastAsia="en-IN"/>
              </w:rPr>
            </w:pPr>
            <w:r w:rsidRPr="00A50F3E">
              <w:rPr>
                <w:rFonts w:ascii="Arial" w:hAnsi="Arial" w:cs="Arial"/>
                <w:sz w:val="20"/>
                <w:szCs w:val="20"/>
                <w:lang w:val="en-IN" w:eastAsia="en-IN"/>
              </w:rPr>
              <w:t>32.29%</w:t>
            </w:r>
          </w:p>
        </w:tc>
        <w:tc>
          <w:tcPr>
            <w:tcW w:w="1050" w:type="dxa"/>
            <w:tcBorders>
              <w:top w:val="nil"/>
              <w:left w:val="nil"/>
              <w:bottom w:val="single" w:sz="4" w:space="0" w:color="auto"/>
              <w:right w:val="single" w:sz="4" w:space="0" w:color="auto"/>
            </w:tcBorders>
            <w:shd w:val="clear" w:color="auto" w:fill="auto"/>
            <w:noWrap/>
            <w:vAlign w:val="bottom"/>
            <w:hideMark/>
          </w:tcPr>
          <w:p w:rsidR="00A50F3E" w:rsidRPr="00A50F3E" w:rsidRDefault="00A50F3E" w:rsidP="00A50F3E">
            <w:pPr>
              <w:jc w:val="center"/>
              <w:rPr>
                <w:rFonts w:ascii="Arial" w:hAnsi="Arial" w:cs="Arial"/>
                <w:sz w:val="20"/>
                <w:szCs w:val="20"/>
                <w:lang w:val="en-IN" w:eastAsia="en-IN"/>
              </w:rPr>
            </w:pPr>
            <w:r w:rsidRPr="00A50F3E">
              <w:rPr>
                <w:rFonts w:ascii="Arial" w:hAnsi="Arial" w:cs="Arial"/>
                <w:sz w:val="20"/>
                <w:szCs w:val="20"/>
                <w:lang w:val="en-IN" w:eastAsia="en-IN"/>
              </w:rPr>
              <w:t>30.44%</w:t>
            </w:r>
          </w:p>
        </w:tc>
        <w:tc>
          <w:tcPr>
            <w:tcW w:w="1050" w:type="dxa"/>
            <w:tcBorders>
              <w:top w:val="nil"/>
              <w:left w:val="nil"/>
              <w:bottom w:val="single" w:sz="4" w:space="0" w:color="auto"/>
              <w:right w:val="single" w:sz="4" w:space="0" w:color="auto"/>
            </w:tcBorders>
            <w:shd w:val="clear" w:color="auto" w:fill="auto"/>
            <w:noWrap/>
            <w:vAlign w:val="bottom"/>
            <w:hideMark/>
          </w:tcPr>
          <w:p w:rsidR="00A50F3E" w:rsidRPr="00A50F3E" w:rsidRDefault="00A50F3E" w:rsidP="00A50F3E">
            <w:pPr>
              <w:jc w:val="center"/>
              <w:rPr>
                <w:rFonts w:ascii="Arial" w:hAnsi="Arial" w:cs="Arial"/>
                <w:sz w:val="20"/>
                <w:szCs w:val="20"/>
                <w:lang w:val="en-IN" w:eastAsia="en-IN"/>
              </w:rPr>
            </w:pPr>
            <w:r w:rsidRPr="00A50F3E">
              <w:rPr>
                <w:rFonts w:ascii="Arial" w:hAnsi="Arial" w:cs="Arial"/>
                <w:sz w:val="20"/>
                <w:szCs w:val="20"/>
                <w:lang w:val="en-IN" w:eastAsia="en-IN"/>
              </w:rPr>
              <w:t>28.14%</w:t>
            </w:r>
          </w:p>
        </w:tc>
        <w:tc>
          <w:tcPr>
            <w:tcW w:w="1050" w:type="dxa"/>
            <w:tcBorders>
              <w:top w:val="nil"/>
              <w:left w:val="nil"/>
              <w:bottom w:val="single" w:sz="4" w:space="0" w:color="auto"/>
              <w:right w:val="single" w:sz="4" w:space="0" w:color="auto"/>
            </w:tcBorders>
            <w:shd w:val="clear" w:color="auto" w:fill="auto"/>
            <w:noWrap/>
            <w:vAlign w:val="bottom"/>
            <w:hideMark/>
          </w:tcPr>
          <w:p w:rsidR="00A50F3E" w:rsidRPr="00A50F3E" w:rsidRDefault="00A50F3E" w:rsidP="00A50F3E">
            <w:pPr>
              <w:jc w:val="center"/>
              <w:rPr>
                <w:rFonts w:ascii="Arial" w:hAnsi="Arial" w:cs="Arial"/>
                <w:sz w:val="20"/>
                <w:szCs w:val="20"/>
                <w:lang w:val="en-IN" w:eastAsia="en-IN"/>
              </w:rPr>
            </w:pPr>
            <w:r w:rsidRPr="00A50F3E">
              <w:rPr>
                <w:rFonts w:ascii="Arial" w:hAnsi="Arial" w:cs="Arial"/>
                <w:sz w:val="20"/>
                <w:szCs w:val="20"/>
                <w:lang w:val="en-IN" w:eastAsia="en-IN"/>
              </w:rPr>
              <w:t>25.83%</w:t>
            </w:r>
          </w:p>
        </w:tc>
        <w:tc>
          <w:tcPr>
            <w:tcW w:w="1050" w:type="dxa"/>
            <w:tcBorders>
              <w:top w:val="nil"/>
              <w:left w:val="nil"/>
              <w:bottom w:val="single" w:sz="4" w:space="0" w:color="auto"/>
              <w:right w:val="single" w:sz="4" w:space="0" w:color="auto"/>
            </w:tcBorders>
            <w:shd w:val="clear" w:color="auto" w:fill="auto"/>
            <w:noWrap/>
            <w:vAlign w:val="bottom"/>
            <w:hideMark/>
          </w:tcPr>
          <w:p w:rsidR="00A50F3E" w:rsidRPr="00A50F3E" w:rsidRDefault="00A50F3E" w:rsidP="00A50F3E">
            <w:pPr>
              <w:jc w:val="center"/>
              <w:rPr>
                <w:rFonts w:ascii="Arial" w:hAnsi="Arial" w:cs="Arial"/>
                <w:sz w:val="20"/>
                <w:szCs w:val="20"/>
                <w:lang w:val="en-IN" w:eastAsia="en-IN"/>
              </w:rPr>
            </w:pPr>
            <w:r w:rsidRPr="00A50F3E">
              <w:rPr>
                <w:rFonts w:ascii="Arial" w:hAnsi="Arial" w:cs="Arial"/>
                <w:sz w:val="20"/>
                <w:szCs w:val="20"/>
                <w:lang w:val="en-IN" w:eastAsia="en-IN"/>
              </w:rPr>
              <w:t>23.52%</w:t>
            </w:r>
          </w:p>
        </w:tc>
        <w:tc>
          <w:tcPr>
            <w:tcW w:w="1050" w:type="dxa"/>
            <w:tcBorders>
              <w:top w:val="nil"/>
              <w:left w:val="nil"/>
              <w:bottom w:val="single" w:sz="4" w:space="0" w:color="auto"/>
              <w:right w:val="single" w:sz="4" w:space="0" w:color="auto"/>
            </w:tcBorders>
            <w:shd w:val="clear" w:color="auto" w:fill="auto"/>
            <w:noWrap/>
            <w:vAlign w:val="bottom"/>
            <w:hideMark/>
          </w:tcPr>
          <w:p w:rsidR="00A50F3E" w:rsidRPr="00A50F3E" w:rsidRDefault="00A50F3E" w:rsidP="00A50F3E">
            <w:pPr>
              <w:jc w:val="center"/>
              <w:rPr>
                <w:rFonts w:ascii="Arial" w:hAnsi="Arial" w:cs="Arial"/>
                <w:sz w:val="20"/>
                <w:szCs w:val="20"/>
                <w:lang w:val="en-IN" w:eastAsia="en-IN"/>
              </w:rPr>
            </w:pPr>
            <w:r w:rsidRPr="00A50F3E">
              <w:rPr>
                <w:rFonts w:ascii="Arial" w:hAnsi="Arial" w:cs="Arial"/>
                <w:sz w:val="20"/>
                <w:szCs w:val="20"/>
                <w:lang w:val="en-IN" w:eastAsia="en-IN"/>
              </w:rPr>
              <w:t>21.22%</w:t>
            </w:r>
          </w:p>
        </w:tc>
        <w:tc>
          <w:tcPr>
            <w:tcW w:w="1050" w:type="dxa"/>
            <w:tcBorders>
              <w:top w:val="nil"/>
              <w:left w:val="nil"/>
              <w:bottom w:val="single" w:sz="4" w:space="0" w:color="auto"/>
              <w:right w:val="single" w:sz="4" w:space="0" w:color="auto"/>
            </w:tcBorders>
            <w:shd w:val="clear" w:color="auto" w:fill="auto"/>
            <w:noWrap/>
            <w:vAlign w:val="bottom"/>
            <w:hideMark/>
          </w:tcPr>
          <w:p w:rsidR="00A50F3E" w:rsidRPr="00A50F3E" w:rsidRDefault="00A50F3E" w:rsidP="00A50F3E">
            <w:pPr>
              <w:jc w:val="center"/>
              <w:rPr>
                <w:rFonts w:ascii="Arial" w:hAnsi="Arial" w:cs="Arial"/>
                <w:sz w:val="20"/>
                <w:szCs w:val="20"/>
                <w:lang w:val="en-IN" w:eastAsia="en-IN"/>
              </w:rPr>
            </w:pPr>
            <w:r w:rsidRPr="00A50F3E">
              <w:rPr>
                <w:rFonts w:ascii="Arial" w:hAnsi="Arial" w:cs="Arial"/>
                <w:sz w:val="20"/>
                <w:szCs w:val="20"/>
                <w:lang w:val="en-IN" w:eastAsia="en-IN"/>
              </w:rPr>
              <w:t>18.91%</w:t>
            </w:r>
          </w:p>
        </w:tc>
      </w:tr>
    </w:tbl>
    <w:p w:rsidR="00A50F3E" w:rsidRDefault="00A50F3E" w:rsidP="00A50F3E">
      <w:pPr>
        <w:autoSpaceDE w:val="0"/>
        <w:autoSpaceDN w:val="0"/>
        <w:adjustRightInd w:val="0"/>
        <w:spacing w:after="240" w:line="360" w:lineRule="auto"/>
        <w:ind w:left="360"/>
        <w:jc w:val="both"/>
        <w:rPr>
          <w:rFonts w:ascii="Arial" w:hAnsi="Arial" w:cs="Arial"/>
          <w:color w:val="000000"/>
          <w:sz w:val="22"/>
          <w:szCs w:val="22"/>
          <w:lang w:val="en-GB"/>
        </w:rPr>
      </w:pPr>
    </w:p>
    <w:p w:rsidR="00A50F3E" w:rsidRPr="00EA3913" w:rsidRDefault="00A50F3E" w:rsidP="00A50F3E">
      <w:pPr>
        <w:autoSpaceDE w:val="0"/>
        <w:autoSpaceDN w:val="0"/>
        <w:adjustRightInd w:val="0"/>
        <w:spacing w:after="240" w:line="360" w:lineRule="auto"/>
        <w:ind w:left="360"/>
        <w:jc w:val="both"/>
        <w:rPr>
          <w:rFonts w:ascii="Arial" w:hAnsi="Arial" w:cs="Arial"/>
          <w:color w:val="000000"/>
          <w:sz w:val="22"/>
          <w:szCs w:val="22"/>
          <w:lang w:val="en-GB"/>
        </w:rPr>
      </w:pPr>
    </w:p>
    <w:p w:rsidR="00206E77" w:rsidRPr="00EA3913" w:rsidRDefault="00206E77" w:rsidP="00206E77">
      <w:pPr>
        <w:numPr>
          <w:ilvl w:val="1"/>
          <w:numId w:val="2"/>
        </w:numPr>
        <w:autoSpaceDE w:val="0"/>
        <w:autoSpaceDN w:val="0"/>
        <w:adjustRightInd w:val="0"/>
        <w:spacing w:after="240" w:line="360" w:lineRule="auto"/>
        <w:jc w:val="both"/>
        <w:rPr>
          <w:rFonts w:ascii="Arial" w:hAnsi="Arial" w:cs="Arial"/>
          <w:color w:val="000000"/>
          <w:sz w:val="22"/>
          <w:szCs w:val="22"/>
        </w:rPr>
      </w:pPr>
      <w:r w:rsidRPr="00EA3913">
        <w:rPr>
          <w:rFonts w:ascii="Arial" w:hAnsi="Arial" w:cs="Arial"/>
          <w:color w:val="000000"/>
          <w:sz w:val="22"/>
          <w:szCs w:val="22"/>
          <w:lang w:val="en-GB"/>
        </w:rPr>
        <w:t>That, the Licensee has made certain assumptions while projecting its operations for the FY 2015-16. These projections are based upon the best estimates of the operations and prospective plans of the company at the time of the ARR filing. The actual ARR and the revenue figures would be different from the above estimates due to several external factors such as power purchase cost and change in consumer mix</w:t>
      </w:r>
      <w:r w:rsidR="00BA65B8">
        <w:rPr>
          <w:rFonts w:ascii="Arial" w:hAnsi="Arial" w:cs="Arial"/>
          <w:color w:val="000000"/>
          <w:sz w:val="22"/>
          <w:szCs w:val="22"/>
          <w:lang w:val="en-GB"/>
        </w:rPr>
        <w:t>,</w:t>
      </w:r>
      <w:r w:rsidRPr="00EA3913">
        <w:rPr>
          <w:rFonts w:ascii="Arial" w:hAnsi="Arial" w:cs="Arial"/>
          <w:color w:val="000000"/>
          <w:sz w:val="22"/>
          <w:szCs w:val="22"/>
          <w:lang w:val="en-GB"/>
        </w:rPr>
        <w:t xml:space="preserve"> consumption </w:t>
      </w:r>
      <w:r w:rsidR="00BA65B8">
        <w:rPr>
          <w:rFonts w:ascii="Arial" w:hAnsi="Arial" w:cs="Arial"/>
          <w:color w:val="000000"/>
          <w:sz w:val="22"/>
          <w:szCs w:val="22"/>
          <w:lang w:val="en-GB"/>
        </w:rPr>
        <w:t xml:space="preserve">mix, </w:t>
      </w:r>
      <w:r w:rsidRPr="00EA3913">
        <w:rPr>
          <w:rFonts w:ascii="Arial" w:hAnsi="Arial" w:cs="Arial"/>
          <w:color w:val="000000"/>
          <w:sz w:val="22"/>
          <w:szCs w:val="22"/>
          <w:lang w:val="en-GB"/>
        </w:rPr>
        <w:t>etc.</w:t>
      </w:r>
    </w:p>
    <w:p w:rsidR="00EB59EB" w:rsidRPr="00EA3913" w:rsidRDefault="00EB59EB" w:rsidP="00206E77">
      <w:pPr>
        <w:numPr>
          <w:ilvl w:val="1"/>
          <w:numId w:val="2"/>
        </w:numPr>
        <w:autoSpaceDE w:val="0"/>
        <w:autoSpaceDN w:val="0"/>
        <w:adjustRightInd w:val="0"/>
        <w:spacing w:after="240" w:line="360" w:lineRule="auto"/>
        <w:jc w:val="both"/>
        <w:rPr>
          <w:rFonts w:ascii="Arial" w:hAnsi="Arial" w:cs="Arial"/>
          <w:color w:val="000000"/>
          <w:sz w:val="22"/>
          <w:szCs w:val="22"/>
        </w:rPr>
      </w:pPr>
      <w:r w:rsidRPr="00EA3913">
        <w:rPr>
          <w:rFonts w:ascii="Arial" w:hAnsi="Arial" w:cs="Arial"/>
          <w:color w:val="000000"/>
          <w:sz w:val="22"/>
          <w:szCs w:val="22"/>
        </w:rPr>
        <w:t>Based on estimated Revenue Requirement and Revenue at existing tariff, the revenue gap for FY 2015-2016  works out to Rs</w:t>
      </w:r>
      <w:r w:rsidR="006C3BA6" w:rsidRPr="00EA3913">
        <w:rPr>
          <w:rFonts w:ascii="Arial" w:hAnsi="Arial" w:cs="Arial"/>
          <w:color w:val="000000"/>
          <w:sz w:val="22"/>
          <w:szCs w:val="22"/>
        </w:rPr>
        <w:t xml:space="preserve">. </w:t>
      </w:r>
      <w:r w:rsidR="00033236" w:rsidRPr="00EA3913">
        <w:rPr>
          <w:rFonts w:ascii="Arial" w:hAnsi="Arial" w:cs="Arial"/>
          <w:color w:val="000000"/>
          <w:sz w:val="22"/>
          <w:szCs w:val="22"/>
        </w:rPr>
        <w:t>64</w:t>
      </w:r>
      <w:r w:rsidR="00A21B9D">
        <w:rPr>
          <w:rFonts w:ascii="Arial" w:hAnsi="Arial" w:cs="Arial"/>
          <w:color w:val="000000"/>
          <w:sz w:val="22"/>
          <w:szCs w:val="22"/>
        </w:rPr>
        <w:t>7.</w:t>
      </w:r>
      <w:r w:rsidR="00033236" w:rsidRPr="00EA3913">
        <w:rPr>
          <w:rFonts w:ascii="Arial" w:hAnsi="Arial" w:cs="Arial"/>
          <w:color w:val="000000"/>
          <w:sz w:val="22"/>
          <w:szCs w:val="22"/>
        </w:rPr>
        <w:t>9</w:t>
      </w:r>
      <w:r w:rsidR="00A21B9D">
        <w:rPr>
          <w:rFonts w:ascii="Arial" w:hAnsi="Arial" w:cs="Arial"/>
          <w:color w:val="000000"/>
          <w:sz w:val="22"/>
          <w:szCs w:val="22"/>
        </w:rPr>
        <w:t>8</w:t>
      </w:r>
      <w:r w:rsidRPr="00EA3913">
        <w:rPr>
          <w:rFonts w:ascii="Arial" w:hAnsi="Arial" w:cs="Arial"/>
          <w:color w:val="000000"/>
          <w:sz w:val="22"/>
          <w:szCs w:val="22"/>
        </w:rPr>
        <w:t xml:space="preserve"> Crore. The licensee submits that the revenue gap of FY 201516 includes Amortisation of regulatory assets amounting to Rs </w:t>
      </w:r>
      <w:r w:rsidR="006C3BA6" w:rsidRPr="00EA3913">
        <w:rPr>
          <w:rFonts w:ascii="Arial" w:hAnsi="Arial" w:cs="Arial"/>
          <w:color w:val="000000"/>
          <w:sz w:val="22"/>
          <w:szCs w:val="22"/>
        </w:rPr>
        <w:t>81 .81</w:t>
      </w:r>
      <w:r w:rsidRPr="00EA3913">
        <w:rPr>
          <w:rFonts w:ascii="Arial" w:hAnsi="Arial" w:cs="Arial"/>
          <w:color w:val="000000"/>
          <w:sz w:val="22"/>
          <w:szCs w:val="22"/>
        </w:rPr>
        <w:t xml:space="preserve"> Crore</w:t>
      </w:r>
      <w:r w:rsidR="00BA65B8">
        <w:rPr>
          <w:rFonts w:ascii="Arial" w:hAnsi="Arial" w:cs="Arial"/>
          <w:color w:val="000000"/>
          <w:sz w:val="22"/>
          <w:szCs w:val="22"/>
        </w:rPr>
        <w:t xml:space="preserve"> and uncovered revenue gap for on account of truing up as Rs </w:t>
      </w:r>
      <w:r w:rsidR="006C3BA6" w:rsidRPr="00EA3913">
        <w:rPr>
          <w:rFonts w:ascii="Arial" w:hAnsi="Arial" w:cs="Arial"/>
          <w:color w:val="000000"/>
          <w:sz w:val="22"/>
          <w:szCs w:val="22"/>
        </w:rPr>
        <w:t>11</w:t>
      </w:r>
      <w:r w:rsidR="00A21B9D">
        <w:rPr>
          <w:rFonts w:ascii="Arial" w:hAnsi="Arial" w:cs="Arial"/>
          <w:color w:val="000000"/>
          <w:sz w:val="22"/>
          <w:szCs w:val="22"/>
        </w:rPr>
        <w:t>5.96</w:t>
      </w:r>
      <w:r w:rsidRPr="00EA3913">
        <w:rPr>
          <w:rFonts w:ascii="Arial" w:hAnsi="Arial" w:cs="Arial"/>
          <w:color w:val="000000"/>
          <w:sz w:val="22"/>
          <w:szCs w:val="22"/>
        </w:rPr>
        <w:t>Crore.</w:t>
      </w:r>
    </w:p>
    <w:p w:rsidR="00EB59EB" w:rsidRPr="006057BA" w:rsidRDefault="00EB59EB" w:rsidP="00EB59EB">
      <w:pPr>
        <w:pStyle w:val="Caption"/>
        <w:keepNext/>
        <w:spacing w:line="360" w:lineRule="auto"/>
        <w:rPr>
          <w:rFonts w:cs="Arial"/>
          <w:b/>
          <w:color w:val="000000"/>
          <w:sz w:val="22"/>
          <w:szCs w:val="22"/>
        </w:rPr>
      </w:pPr>
      <w:bookmarkStart w:id="1" w:name="_Toc120966557"/>
      <w:r w:rsidRPr="006057BA">
        <w:rPr>
          <w:rFonts w:cs="Arial"/>
          <w:b/>
          <w:color w:val="000000"/>
          <w:sz w:val="22"/>
          <w:szCs w:val="22"/>
        </w:rPr>
        <w:t>Table 1 : Revenue Gap</w:t>
      </w:r>
      <w:bookmarkEnd w:id="1"/>
    </w:p>
    <w:tbl>
      <w:tblPr>
        <w:tblW w:w="7905"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6383"/>
        <w:gridCol w:w="1522"/>
      </w:tblGrid>
      <w:tr w:rsidR="00772181" w:rsidRPr="006057BA" w:rsidTr="00A50F3E">
        <w:trPr>
          <w:trHeight w:val="340"/>
          <w:jc w:val="center"/>
        </w:trPr>
        <w:tc>
          <w:tcPr>
            <w:tcW w:w="6383" w:type="dxa"/>
            <w:shd w:val="solid" w:color="000080" w:fill="FFFFFF"/>
          </w:tcPr>
          <w:p w:rsidR="00772181" w:rsidRPr="006057BA" w:rsidRDefault="00772181" w:rsidP="00AE0BAB">
            <w:pPr>
              <w:spacing w:line="360" w:lineRule="auto"/>
              <w:rPr>
                <w:rFonts w:ascii="Cambria" w:hAnsi="Cambria" w:cs="Arial"/>
                <w:b/>
                <w:bCs/>
                <w:color w:val="FFFFFF"/>
                <w:sz w:val="22"/>
                <w:szCs w:val="22"/>
              </w:rPr>
            </w:pPr>
          </w:p>
        </w:tc>
        <w:tc>
          <w:tcPr>
            <w:tcW w:w="1522" w:type="dxa"/>
            <w:shd w:val="solid" w:color="000080" w:fill="FFFFFF"/>
          </w:tcPr>
          <w:p w:rsidR="00772181" w:rsidRPr="006057BA" w:rsidRDefault="00772181" w:rsidP="00AE0BAB">
            <w:pPr>
              <w:spacing w:line="360" w:lineRule="auto"/>
              <w:jc w:val="center"/>
              <w:rPr>
                <w:rFonts w:ascii="Cambria" w:hAnsi="Cambria" w:cs="Arial"/>
                <w:b/>
                <w:bCs/>
                <w:color w:val="FFFFFF"/>
                <w:sz w:val="22"/>
                <w:szCs w:val="22"/>
              </w:rPr>
            </w:pPr>
            <w:r w:rsidRPr="006057BA">
              <w:rPr>
                <w:rFonts w:ascii="Cambria" w:hAnsi="Cambria" w:cs="Arial"/>
                <w:b/>
                <w:sz w:val="22"/>
                <w:szCs w:val="22"/>
              </w:rPr>
              <w:t>Rs Crore</w:t>
            </w:r>
          </w:p>
        </w:tc>
      </w:tr>
      <w:tr w:rsidR="00A21B9D" w:rsidRPr="006057BA" w:rsidTr="00A50F3E">
        <w:trPr>
          <w:trHeight w:val="623"/>
          <w:jc w:val="center"/>
        </w:trPr>
        <w:tc>
          <w:tcPr>
            <w:tcW w:w="6383" w:type="dxa"/>
            <w:vAlign w:val="center"/>
          </w:tcPr>
          <w:p w:rsidR="00A21B9D" w:rsidRPr="006057BA" w:rsidRDefault="00A21B9D" w:rsidP="00AE0BAB">
            <w:pPr>
              <w:autoSpaceDE w:val="0"/>
              <w:autoSpaceDN w:val="0"/>
              <w:adjustRightInd w:val="0"/>
              <w:spacing w:line="360" w:lineRule="auto"/>
              <w:rPr>
                <w:rFonts w:ascii="Cambria" w:hAnsi="Cambria" w:cs="Arial"/>
                <w:color w:val="000000"/>
              </w:rPr>
            </w:pPr>
            <w:r w:rsidRPr="006057BA">
              <w:rPr>
                <w:rFonts w:ascii="Cambria" w:hAnsi="Cambria" w:cs="Arial"/>
                <w:color w:val="000000"/>
              </w:rPr>
              <w:t>Expenditure including Special Appropriation in FY 2015-16</w:t>
            </w:r>
          </w:p>
        </w:tc>
        <w:tc>
          <w:tcPr>
            <w:tcW w:w="1522" w:type="dxa"/>
            <w:vAlign w:val="center"/>
          </w:tcPr>
          <w:p w:rsidR="00A21B9D" w:rsidRDefault="00A21B9D">
            <w:pPr>
              <w:jc w:val="right"/>
              <w:rPr>
                <w:rFonts w:ascii="Cambria" w:hAnsi="Cambria" w:cs="Arial"/>
                <w:color w:val="000000"/>
                <w:sz w:val="22"/>
                <w:szCs w:val="22"/>
              </w:rPr>
            </w:pPr>
            <w:r>
              <w:rPr>
                <w:rFonts w:ascii="Cambria" w:hAnsi="Cambria" w:cs="Arial"/>
                <w:color w:val="000000"/>
                <w:sz w:val="22"/>
                <w:szCs w:val="22"/>
              </w:rPr>
              <w:t>2302.38</w:t>
            </w:r>
          </w:p>
        </w:tc>
      </w:tr>
      <w:tr w:rsidR="00A21B9D" w:rsidRPr="006057BA" w:rsidTr="00A50F3E">
        <w:trPr>
          <w:trHeight w:val="340"/>
          <w:jc w:val="center"/>
        </w:trPr>
        <w:tc>
          <w:tcPr>
            <w:tcW w:w="6383" w:type="dxa"/>
            <w:vAlign w:val="center"/>
          </w:tcPr>
          <w:p w:rsidR="00A21B9D" w:rsidRPr="006057BA" w:rsidRDefault="00A21B9D" w:rsidP="00AE0BAB">
            <w:pPr>
              <w:autoSpaceDE w:val="0"/>
              <w:autoSpaceDN w:val="0"/>
              <w:adjustRightInd w:val="0"/>
              <w:spacing w:line="360" w:lineRule="auto"/>
              <w:rPr>
                <w:rFonts w:ascii="Cambria" w:hAnsi="Cambria" w:cs="Arial"/>
                <w:color w:val="000000"/>
              </w:rPr>
            </w:pPr>
            <w:r w:rsidRPr="006057BA">
              <w:rPr>
                <w:rFonts w:ascii="Cambria" w:hAnsi="Cambria" w:cs="Arial"/>
                <w:color w:val="000000"/>
              </w:rPr>
              <w:t>Reasonable return for FY 2015-16</w:t>
            </w:r>
          </w:p>
        </w:tc>
        <w:tc>
          <w:tcPr>
            <w:tcW w:w="1522" w:type="dxa"/>
            <w:vAlign w:val="center"/>
          </w:tcPr>
          <w:p w:rsidR="00A21B9D" w:rsidRDefault="00A21B9D">
            <w:pPr>
              <w:jc w:val="right"/>
              <w:rPr>
                <w:rFonts w:ascii="Cambria" w:hAnsi="Cambria" w:cs="Arial"/>
                <w:color w:val="000000"/>
                <w:sz w:val="22"/>
                <w:szCs w:val="22"/>
              </w:rPr>
            </w:pPr>
            <w:r>
              <w:rPr>
                <w:rFonts w:ascii="Cambria" w:hAnsi="Cambria" w:cs="Arial"/>
                <w:color w:val="000000"/>
                <w:sz w:val="22"/>
                <w:szCs w:val="22"/>
              </w:rPr>
              <w:t>10.55</w:t>
            </w:r>
          </w:p>
        </w:tc>
      </w:tr>
      <w:tr w:rsidR="00A21B9D" w:rsidRPr="006057BA" w:rsidTr="00A50F3E">
        <w:trPr>
          <w:trHeight w:val="340"/>
          <w:jc w:val="center"/>
        </w:trPr>
        <w:tc>
          <w:tcPr>
            <w:tcW w:w="6383" w:type="dxa"/>
            <w:vAlign w:val="center"/>
          </w:tcPr>
          <w:p w:rsidR="00A21B9D" w:rsidRPr="006057BA" w:rsidRDefault="00A21B9D" w:rsidP="00AE0BAB">
            <w:pPr>
              <w:autoSpaceDE w:val="0"/>
              <w:autoSpaceDN w:val="0"/>
              <w:adjustRightInd w:val="0"/>
              <w:spacing w:line="360" w:lineRule="auto"/>
              <w:rPr>
                <w:rFonts w:ascii="Cambria" w:hAnsi="Cambria" w:cs="Arial"/>
                <w:b/>
                <w:color w:val="000000"/>
              </w:rPr>
            </w:pPr>
            <w:r w:rsidRPr="006057BA">
              <w:rPr>
                <w:rFonts w:ascii="Cambria" w:hAnsi="Cambria" w:cs="Arial"/>
                <w:color w:val="000000"/>
              </w:rPr>
              <w:t>Amortisation of Regulatory Assets (10%)</w:t>
            </w:r>
          </w:p>
        </w:tc>
        <w:tc>
          <w:tcPr>
            <w:tcW w:w="1522" w:type="dxa"/>
            <w:vAlign w:val="center"/>
          </w:tcPr>
          <w:p w:rsidR="00A21B9D" w:rsidRDefault="00A21B9D">
            <w:pPr>
              <w:jc w:val="right"/>
              <w:rPr>
                <w:rFonts w:ascii="Cambria" w:hAnsi="Cambria" w:cs="Arial"/>
                <w:color w:val="000000"/>
                <w:sz w:val="22"/>
                <w:szCs w:val="22"/>
              </w:rPr>
            </w:pPr>
            <w:r>
              <w:rPr>
                <w:rFonts w:ascii="Cambria" w:hAnsi="Cambria" w:cs="Arial"/>
                <w:color w:val="000000"/>
                <w:sz w:val="22"/>
                <w:szCs w:val="22"/>
              </w:rPr>
              <w:t>81.81</w:t>
            </w:r>
          </w:p>
        </w:tc>
      </w:tr>
      <w:tr w:rsidR="00A21B9D" w:rsidRPr="006057BA" w:rsidTr="00A50F3E">
        <w:trPr>
          <w:trHeight w:val="340"/>
          <w:jc w:val="center"/>
        </w:trPr>
        <w:tc>
          <w:tcPr>
            <w:tcW w:w="6383" w:type="dxa"/>
            <w:vAlign w:val="center"/>
          </w:tcPr>
          <w:p w:rsidR="00A21B9D" w:rsidRPr="006057BA" w:rsidRDefault="00A21B9D" w:rsidP="00AE0BAB">
            <w:pPr>
              <w:autoSpaceDE w:val="0"/>
              <w:autoSpaceDN w:val="0"/>
              <w:adjustRightInd w:val="0"/>
              <w:spacing w:line="360" w:lineRule="auto"/>
              <w:rPr>
                <w:rFonts w:ascii="Cambria" w:hAnsi="Cambria" w:cs="Arial"/>
                <w:b/>
                <w:color w:val="000000"/>
              </w:rPr>
            </w:pPr>
            <w:r w:rsidRPr="006057BA">
              <w:rPr>
                <w:rFonts w:ascii="Cambria" w:hAnsi="Cambria" w:cs="Arial"/>
                <w:color w:val="000000"/>
              </w:rPr>
              <w:t>Truing up of Revenue Gap for FY 2014-15 (1/3</w:t>
            </w:r>
            <w:r w:rsidRPr="006057BA">
              <w:rPr>
                <w:rFonts w:ascii="Cambria" w:hAnsi="Cambria" w:cs="Arial"/>
                <w:color w:val="000000"/>
                <w:vertAlign w:val="superscript"/>
              </w:rPr>
              <w:t>rd</w:t>
            </w:r>
            <w:r w:rsidRPr="006057BA">
              <w:rPr>
                <w:rFonts w:ascii="Cambria" w:hAnsi="Cambria" w:cs="Arial"/>
                <w:color w:val="000000"/>
              </w:rPr>
              <w:t>)</w:t>
            </w:r>
          </w:p>
        </w:tc>
        <w:tc>
          <w:tcPr>
            <w:tcW w:w="1522" w:type="dxa"/>
            <w:vAlign w:val="center"/>
          </w:tcPr>
          <w:p w:rsidR="00A21B9D" w:rsidRDefault="00A21B9D">
            <w:pPr>
              <w:jc w:val="right"/>
              <w:rPr>
                <w:rFonts w:ascii="Cambria" w:hAnsi="Cambria" w:cs="Arial"/>
                <w:color w:val="000000"/>
                <w:sz w:val="22"/>
                <w:szCs w:val="22"/>
              </w:rPr>
            </w:pPr>
            <w:r>
              <w:rPr>
                <w:rFonts w:ascii="Cambria" w:hAnsi="Cambria" w:cs="Arial"/>
                <w:color w:val="000000"/>
                <w:sz w:val="22"/>
                <w:szCs w:val="22"/>
              </w:rPr>
              <w:t>115.96</w:t>
            </w:r>
          </w:p>
        </w:tc>
      </w:tr>
      <w:tr w:rsidR="00A21B9D" w:rsidRPr="006057BA" w:rsidTr="00A50F3E">
        <w:trPr>
          <w:trHeight w:val="340"/>
          <w:jc w:val="center"/>
        </w:trPr>
        <w:tc>
          <w:tcPr>
            <w:tcW w:w="6383" w:type="dxa"/>
            <w:vAlign w:val="center"/>
          </w:tcPr>
          <w:p w:rsidR="00A21B9D" w:rsidRPr="006057BA" w:rsidRDefault="00A21B9D" w:rsidP="00AE0BAB">
            <w:pPr>
              <w:autoSpaceDE w:val="0"/>
              <w:autoSpaceDN w:val="0"/>
              <w:adjustRightInd w:val="0"/>
              <w:spacing w:line="360" w:lineRule="auto"/>
              <w:rPr>
                <w:rFonts w:ascii="Cambria" w:hAnsi="Cambria" w:cs="Arial"/>
                <w:b/>
                <w:color w:val="000000"/>
              </w:rPr>
            </w:pPr>
            <w:r w:rsidRPr="006057BA">
              <w:rPr>
                <w:rFonts w:ascii="Cambria" w:hAnsi="Cambria" w:cs="Arial"/>
                <w:b/>
                <w:color w:val="000000"/>
              </w:rPr>
              <w:t>Sub Total</w:t>
            </w:r>
          </w:p>
        </w:tc>
        <w:tc>
          <w:tcPr>
            <w:tcW w:w="1522" w:type="dxa"/>
            <w:vAlign w:val="center"/>
          </w:tcPr>
          <w:p w:rsidR="00A21B9D" w:rsidRDefault="00A21B9D">
            <w:pPr>
              <w:jc w:val="right"/>
              <w:rPr>
                <w:rFonts w:ascii="Cambria" w:hAnsi="Cambria" w:cs="Arial"/>
                <w:b/>
                <w:bCs/>
                <w:color w:val="000000"/>
                <w:sz w:val="22"/>
                <w:szCs w:val="22"/>
              </w:rPr>
            </w:pPr>
            <w:r>
              <w:rPr>
                <w:rFonts w:ascii="Cambria" w:hAnsi="Cambria" w:cs="Arial"/>
                <w:b/>
                <w:bCs/>
                <w:color w:val="000000"/>
                <w:sz w:val="22"/>
                <w:szCs w:val="22"/>
              </w:rPr>
              <w:t>2510.69</w:t>
            </w:r>
          </w:p>
        </w:tc>
      </w:tr>
      <w:tr w:rsidR="00A21B9D" w:rsidRPr="006057BA" w:rsidTr="00A50F3E">
        <w:trPr>
          <w:trHeight w:val="340"/>
          <w:jc w:val="center"/>
        </w:trPr>
        <w:tc>
          <w:tcPr>
            <w:tcW w:w="6383" w:type="dxa"/>
            <w:vAlign w:val="center"/>
          </w:tcPr>
          <w:p w:rsidR="00A21B9D" w:rsidRPr="006057BA" w:rsidRDefault="00A21B9D" w:rsidP="00AE0BAB">
            <w:pPr>
              <w:autoSpaceDE w:val="0"/>
              <w:autoSpaceDN w:val="0"/>
              <w:adjustRightInd w:val="0"/>
              <w:spacing w:line="360" w:lineRule="auto"/>
              <w:rPr>
                <w:rFonts w:ascii="Cambria" w:hAnsi="Cambria" w:cs="Arial"/>
                <w:color w:val="000000"/>
              </w:rPr>
            </w:pPr>
            <w:r w:rsidRPr="006057BA">
              <w:rPr>
                <w:rFonts w:ascii="Cambria" w:hAnsi="Cambria" w:cs="Arial"/>
                <w:color w:val="000000"/>
              </w:rPr>
              <w:t>Revenue from sale of power at existing tariffs in FY 2015-16</w:t>
            </w:r>
          </w:p>
        </w:tc>
        <w:tc>
          <w:tcPr>
            <w:tcW w:w="1522" w:type="dxa"/>
            <w:vAlign w:val="center"/>
          </w:tcPr>
          <w:p w:rsidR="00A21B9D" w:rsidRDefault="00A21B9D">
            <w:pPr>
              <w:jc w:val="right"/>
              <w:rPr>
                <w:rFonts w:ascii="Cambria" w:hAnsi="Cambria" w:cs="Arial"/>
                <w:color w:val="000000"/>
                <w:sz w:val="22"/>
                <w:szCs w:val="22"/>
              </w:rPr>
            </w:pPr>
            <w:r>
              <w:rPr>
                <w:rFonts w:ascii="Cambria" w:hAnsi="Cambria" w:cs="Arial"/>
                <w:color w:val="000000"/>
                <w:sz w:val="22"/>
                <w:szCs w:val="22"/>
              </w:rPr>
              <w:t>1812.30</w:t>
            </w:r>
          </w:p>
        </w:tc>
      </w:tr>
      <w:tr w:rsidR="00A21B9D" w:rsidRPr="006057BA" w:rsidTr="00A50F3E">
        <w:trPr>
          <w:trHeight w:val="340"/>
          <w:jc w:val="center"/>
        </w:trPr>
        <w:tc>
          <w:tcPr>
            <w:tcW w:w="6383" w:type="dxa"/>
            <w:vAlign w:val="center"/>
          </w:tcPr>
          <w:p w:rsidR="00A21B9D" w:rsidRPr="006057BA" w:rsidRDefault="00A21B9D" w:rsidP="00AE0BAB">
            <w:pPr>
              <w:autoSpaceDE w:val="0"/>
              <w:autoSpaceDN w:val="0"/>
              <w:adjustRightInd w:val="0"/>
              <w:spacing w:line="360" w:lineRule="auto"/>
              <w:rPr>
                <w:rFonts w:ascii="Cambria" w:hAnsi="Cambria" w:cs="Arial"/>
                <w:bCs/>
                <w:color w:val="000000"/>
              </w:rPr>
            </w:pPr>
            <w:r w:rsidRPr="006057BA">
              <w:rPr>
                <w:rFonts w:ascii="Cambria" w:hAnsi="Cambria" w:cs="Arial"/>
                <w:bCs/>
                <w:color w:val="000000"/>
              </w:rPr>
              <w:t>Non Tariff Income</w:t>
            </w:r>
          </w:p>
        </w:tc>
        <w:tc>
          <w:tcPr>
            <w:tcW w:w="1522" w:type="dxa"/>
            <w:vAlign w:val="center"/>
          </w:tcPr>
          <w:p w:rsidR="00A21B9D" w:rsidRDefault="00A21B9D">
            <w:pPr>
              <w:jc w:val="right"/>
              <w:rPr>
                <w:rFonts w:ascii="Cambria" w:hAnsi="Cambria" w:cs="Arial"/>
                <w:color w:val="000000"/>
                <w:sz w:val="22"/>
                <w:szCs w:val="22"/>
              </w:rPr>
            </w:pPr>
            <w:r>
              <w:rPr>
                <w:rFonts w:ascii="Cambria" w:hAnsi="Cambria" w:cs="Arial"/>
                <w:color w:val="000000"/>
                <w:sz w:val="22"/>
                <w:szCs w:val="22"/>
              </w:rPr>
              <w:t>50.41</w:t>
            </w:r>
          </w:p>
        </w:tc>
      </w:tr>
      <w:tr w:rsidR="00A21B9D" w:rsidRPr="00BF0E9D" w:rsidTr="00A50F3E">
        <w:trPr>
          <w:trHeight w:val="340"/>
          <w:jc w:val="center"/>
        </w:trPr>
        <w:tc>
          <w:tcPr>
            <w:tcW w:w="6383" w:type="dxa"/>
            <w:vAlign w:val="center"/>
          </w:tcPr>
          <w:p w:rsidR="00A21B9D" w:rsidRPr="006057BA" w:rsidRDefault="00A21B9D" w:rsidP="00AE0BAB">
            <w:pPr>
              <w:autoSpaceDE w:val="0"/>
              <w:autoSpaceDN w:val="0"/>
              <w:adjustRightInd w:val="0"/>
              <w:spacing w:line="360" w:lineRule="auto"/>
              <w:rPr>
                <w:rFonts w:ascii="Cambria" w:hAnsi="Cambria" w:cs="Arial"/>
                <w:b/>
                <w:color w:val="000000"/>
              </w:rPr>
            </w:pPr>
            <w:r w:rsidRPr="006057BA">
              <w:rPr>
                <w:rFonts w:ascii="Cambria" w:hAnsi="Cambria" w:cs="Arial"/>
                <w:b/>
                <w:color w:val="000000"/>
              </w:rPr>
              <w:t>TOTAL REVENUE GAP (with existing tariff)</w:t>
            </w:r>
          </w:p>
        </w:tc>
        <w:tc>
          <w:tcPr>
            <w:tcW w:w="1522" w:type="dxa"/>
            <w:vAlign w:val="center"/>
          </w:tcPr>
          <w:p w:rsidR="00A21B9D" w:rsidRDefault="00A21B9D">
            <w:pPr>
              <w:jc w:val="right"/>
              <w:rPr>
                <w:rFonts w:ascii="Cambria" w:hAnsi="Cambria" w:cs="Arial"/>
                <w:b/>
                <w:bCs/>
                <w:color w:val="000000"/>
                <w:sz w:val="22"/>
                <w:szCs w:val="22"/>
              </w:rPr>
            </w:pPr>
            <w:r>
              <w:rPr>
                <w:rFonts w:ascii="Cambria" w:hAnsi="Cambria" w:cs="Arial"/>
                <w:b/>
                <w:bCs/>
                <w:color w:val="FF0000"/>
                <w:sz w:val="22"/>
                <w:szCs w:val="22"/>
              </w:rPr>
              <w:t xml:space="preserve">-647.98 </w:t>
            </w:r>
          </w:p>
        </w:tc>
      </w:tr>
    </w:tbl>
    <w:p w:rsidR="00D078B7" w:rsidRDefault="00D078B7" w:rsidP="00D078B7">
      <w:pPr>
        <w:rPr>
          <w:lang w:val="en-GB"/>
        </w:rPr>
      </w:pPr>
    </w:p>
    <w:p w:rsidR="00EB59EB" w:rsidRPr="006641EC" w:rsidRDefault="00EB59EB" w:rsidP="00EB59EB">
      <w:pPr>
        <w:autoSpaceDE w:val="0"/>
        <w:autoSpaceDN w:val="0"/>
        <w:adjustRightInd w:val="0"/>
        <w:spacing w:after="240" w:line="360" w:lineRule="auto"/>
        <w:ind w:left="450"/>
        <w:jc w:val="both"/>
        <w:rPr>
          <w:rFonts w:ascii="Arial" w:hAnsi="Arial" w:cs="Arial"/>
          <w:sz w:val="22"/>
          <w:szCs w:val="22"/>
        </w:rPr>
      </w:pPr>
      <w:r w:rsidRPr="006641EC">
        <w:rPr>
          <w:rFonts w:ascii="Arial" w:hAnsi="Arial" w:cs="Arial"/>
          <w:sz w:val="22"/>
          <w:szCs w:val="22"/>
        </w:rPr>
        <w:t>The revenue gap for the year 20</w:t>
      </w:r>
      <w:r w:rsidR="00D078B7" w:rsidRPr="006641EC">
        <w:rPr>
          <w:rFonts w:ascii="Arial" w:hAnsi="Arial" w:cs="Arial"/>
          <w:sz w:val="22"/>
          <w:szCs w:val="22"/>
        </w:rPr>
        <w:t>15-</w:t>
      </w:r>
      <w:r w:rsidR="00BA65B8">
        <w:rPr>
          <w:rFonts w:ascii="Arial" w:hAnsi="Arial" w:cs="Arial"/>
          <w:sz w:val="22"/>
          <w:szCs w:val="22"/>
        </w:rPr>
        <w:t>1</w:t>
      </w:r>
      <w:r w:rsidR="00D078B7" w:rsidRPr="006641EC">
        <w:rPr>
          <w:rFonts w:ascii="Arial" w:hAnsi="Arial" w:cs="Arial"/>
          <w:sz w:val="22"/>
          <w:szCs w:val="22"/>
        </w:rPr>
        <w:t>6</w:t>
      </w:r>
      <w:r w:rsidRPr="006641EC">
        <w:rPr>
          <w:rFonts w:ascii="Arial" w:hAnsi="Arial" w:cs="Arial"/>
          <w:sz w:val="22"/>
          <w:szCs w:val="22"/>
        </w:rPr>
        <w:t>, considering the BSPat 2015-16 rate is arrived at Rs.</w:t>
      </w:r>
      <w:r w:rsidR="00A21B9D">
        <w:rPr>
          <w:rFonts w:ascii="Arial" w:hAnsi="Arial" w:cs="Arial"/>
          <w:sz w:val="22"/>
          <w:szCs w:val="22"/>
        </w:rPr>
        <w:t>647.</w:t>
      </w:r>
      <w:r w:rsidR="003D0EBB" w:rsidRPr="006641EC">
        <w:rPr>
          <w:rFonts w:ascii="Arial" w:hAnsi="Arial" w:cs="Arial"/>
          <w:sz w:val="22"/>
          <w:szCs w:val="22"/>
        </w:rPr>
        <w:t>9</w:t>
      </w:r>
      <w:r w:rsidR="00A21B9D">
        <w:rPr>
          <w:rFonts w:ascii="Arial" w:hAnsi="Arial" w:cs="Arial"/>
          <w:sz w:val="22"/>
          <w:szCs w:val="22"/>
        </w:rPr>
        <w:t>8</w:t>
      </w:r>
      <w:r w:rsidRPr="006641EC">
        <w:rPr>
          <w:rFonts w:ascii="Arial" w:hAnsi="Arial" w:cs="Arial"/>
          <w:sz w:val="22"/>
          <w:szCs w:val="22"/>
        </w:rPr>
        <w:t xml:space="preserve"> crores. </w:t>
      </w:r>
    </w:p>
    <w:p w:rsidR="00206E77" w:rsidRPr="004E4805" w:rsidRDefault="00BA65B8" w:rsidP="00206E77">
      <w:pPr>
        <w:autoSpaceDE w:val="0"/>
        <w:autoSpaceDN w:val="0"/>
        <w:adjustRightInd w:val="0"/>
        <w:spacing w:after="240" w:line="360" w:lineRule="auto"/>
        <w:ind w:left="450"/>
        <w:jc w:val="both"/>
        <w:rPr>
          <w:rFonts w:ascii="Arial" w:hAnsi="Arial" w:cs="Arial"/>
          <w:color w:val="000000"/>
          <w:sz w:val="22"/>
          <w:szCs w:val="22"/>
          <w:lang w:val="en-GB"/>
        </w:rPr>
      </w:pPr>
      <w:r>
        <w:rPr>
          <w:rFonts w:ascii="Arial" w:hAnsi="Arial" w:cs="Arial"/>
          <w:color w:val="000000"/>
          <w:sz w:val="22"/>
          <w:szCs w:val="22"/>
          <w:lang w:val="en-GB"/>
        </w:rPr>
        <w:t>Some of the highlights worth-</w:t>
      </w:r>
      <w:r w:rsidR="00206E77" w:rsidRPr="004E4805">
        <w:rPr>
          <w:rFonts w:ascii="Arial" w:hAnsi="Arial" w:cs="Arial"/>
          <w:color w:val="000000"/>
          <w:sz w:val="22"/>
          <w:szCs w:val="22"/>
          <w:lang w:val="en-GB"/>
        </w:rPr>
        <w:t>mentioning are as follows:</w:t>
      </w:r>
    </w:p>
    <w:p w:rsidR="00206E77" w:rsidRPr="004E4805" w:rsidRDefault="00206E77" w:rsidP="00CF66A5">
      <w:pPr>
        <w:numPr>
          <w:ilvl w:val="0"/>
          <w:numId w:val="47"/>
        </w:numPr>
        <w:autoSpaceDE w:val="0"/>
        <w:autoSpaceDN w:val="0"/>
        <w:adjustRightInd w:val="0"/>
        <w:spacing w:after="240" w:line="360" w:lineRule="auto"/>
        <w:jc w:val="both"/>
        <w:rPr>
          <w:rFonts w:ascii="Arial" w:hAnsi="Arial" w:cs="Arial"/>
          <w:color w:val="000000"/>
          <w:sz w:val="22"/>
          <w:szCs w:val="22"/>
          <w:lang w:val="en-GB"/>
        </w:rPr>
      </w:pPr>
      <w:r w:rsidRPr="004E4805">
        <w:rPr>
          <w:rFonts w:ascii="Arial" w:hAnsi="Arial" w:cs="Arial"/>
          <w:color w:val="000000"/>
          <w:sz w:val="22"/>
          <w:szCs w:val="22"/>
          <w:lang w:val="en-GB"/>
        </w:rPr>
        <w:t>That, to meet the specialised manpower requirements arising out of enforcing safety standards and new business requirements, the organisation structure has been modified. Given the propensity of natural calamities, a Disaster Management Cell ha</w:t>
      </w:r>
      <w:r w:rsidR="007064FA">
        <w:rPr>
          <w:rFonts w:ascii="Arial" w:hAnsi="Arial" w:cs="Arial"/>
          <w:color w:val="000000"/>
          <w:sz w:val="22"/>
          <w:szCs w:val="22"/>
          <w:lang w:val="en-GB"/>
        </w:rPr>
        <w:t>s been created. The Company has</w:t>
      </w:r>
      <w:r w:rsidRPr="004E4805">
        <w:rPr>
          <w:rFonts w:ascii="Arial" w:hAnsi="Arial" w:cs="Arial"/>
          <w:color w:val="000000"/>
          <w:sz w:val="22"/>
          <w:szCs w:val="22"/>
          <w:lang w:val="en-GB"/>
        </w:rPr>
        <w:t xml:space="preserve"> also prepared the Standard Operating Procedures (SOP) for disaster management and </w:t>
      </w:r>
      <w:r w:rsidR="007064FA">
        <w:rPr>
          <w:rFonts w:ascii="Arial" w:hAnsi="Arial" w:cs="Arial"/>
          <w:color w:val="000000"/>
          <w:sz w:val="22"/>
          <w:szCs w:val="22"/>
          <w:lang w:val="en-GB"/>
        </w:rPr>
        <w:t xml:space="preserve">power supply </w:t>
      </w:r>
      <w:r w:rsidRPr="004E4805">
        <w:rPr>
          <w:rFonts w:ascii="Arial" w:hAnsi="Arial" w:cs="Arial"/>
          <w:color w:val="000000"/>
          <w:sz w:val="22"/>
          <w:szCs w:val="22"/>
          <w:lang w:val="en-GB"/>
        </w:rPr>
        <w:t>restoration.The licensee is in the process of recruiting manpower for ensuring better reliability and improved customer service and the process of recruitment has already been initiated.</w:t>
      </w:r>
    </w:p>
    <w:p w:rsidR="00206E77" w:rsidRPr="004E4805" w:rsidRDefault="00206E77" w:rsidP="00CF66A5">
      <w:pPr>
        <w:numPr>
          <w:ilvl w:val="0"/>
          <w:numId w:val="47"/>
        </w:numPr>
        <w:autoSpaceDE w:val="0"/>
        <w:autoSpaceDN w:val="0"/>
        <w:adjustRightInd w:val="0"/>
        <w:spacing w:after="240" w:line="360" w:lineRule="auto"/>
        <w:jc w:val="both"/>
        <w:rPr>
          <w:rFonts w:ascii="Arial" w:hAnsi="Arial" w:cs="Arial"/>
          <w:color w:val="000000"/>
          <w:sz w:val="22"/>
          <w:szCs w:val="22"/>
          <w:lang w:val="en-GB"/>
        </w:rPr>
      </w:pPr>
      <w:r w:rsidRPr="004E4805">
        <w:rPr>
          <w:rFonts w:ascii="Arial" w:hAnsi="Arial" w:cs="Arial"/>
          <w:color w:val="000000"/>
          <w:sz w:val="22"/>
          <w:szCs w:val="22"/>
          <w:lang w:val="en-GB"/>
        </w:rPr>
        <w:lastRenderedPageBreak/>
        <w:t xml:space="preserve">That, the Licensee has obtained in principle sanction for loan of Rs 234 Crs </w:t>
      </w:r>
      <w:r w:rsidR="007064FA">
        <w:rPr>
          <w:rFonts w:ascii="Arial" w:hAnsi="Arial" w:cs="Arial"/>
          <w:color w:val="000000"/>
          <w:sz w:val="22"/>
          <w:szCs w:val="22"/>
          <w:lang w:val="en-GB"/>
        </w:rPr>
        <w:t xml:space="preserve">(for NESCO, WESCO &amp; SOUTHCO) </w:t>
      </w:r>
      <w:r w:rsidRPr="004E4805">
        <w:rPr>
          <w:rFonts w:ascii="Arial" w:hAnsi="Arial" w:cs="Arial"/>
          <w:color w:val="000000"/>
          <w:sz w:val="22"/>
          <w:szCs w:val="22"/>
          <w:lang w:val="en-GB"/>
        </w:rPr>
        <w:t xml:space="preserve">from REC Ltd, towards counterpart funding for </w:t>
      </w:r>
      <w:r w:rsidR="007064FA">
        <w:rPr>
          <w:rFonts w:ascii="Arial" w:hAnsi="Arial" w:cs="Arial"/>
          <w:color w:val="000000"/>
          <w:sz w:val="22"/>
          <w:szCs w:val="22"/>
          <w:lang w:val="en-GB"/>
        </w:rPr>
        <w:t>C</w:t>
      </w:r>
      <w:r w:rsidRPr="004E4805">
        <w:rPr>
          <w:rFonts w:ascii="Arial" w:hAnsi="Arial" w:cs="Arial"/>
          <w:color w:val="000000"/>
          <w:sz w:val="22"/>
          <w:szCs w:val="22"/>
          <w:lang w:val="en-GB"/>
        </w:rPr>
        <w:t xml:space="preserve">apex improvement of Distribution System. The proposed </w:t>
      </w:r>
      <w:r w:rsidR="007064FA">
        <w:rPr>
          <w:rFonts w:ascii="Arial" w:hAnsi="Arial" w:cs="Arial"/>
          <w:color w:val="000000"/>
          <w:sz w:val="22"/>
          <w:szCs w:val="22"/>
          <w:lang w:val="en-GB"/>
        </w:rPr>
        <w:t>C</w:t>
      </w:r>
      <w:r w:rsidRPr="004E4805">
        <w:rPr>
          <w:rFonts w:ascii="Arial" w:hAnsi="Arial" w:cs="Arial"/>
          <w:color w:val="000000"/>
          <w:sz w:val="22"/>
          <w:szCs w:val="22"/>
          <w:lang w:val="en-GB"/>
        </w:rPr>
        <w:t>apex programme will be spread over three years and will involve modernisation and renovation of sub stations at 33 KV level &amp; distribution sub stations, re</w:t>
      </w:r>
      <w:r w:rsidR="007064FA">
        <w:rPr>
          <w:rFonts w:ascii="Arial" w:hAnsi="Arial" w:cs="Arial"/>
          <w:color w:val="000000"/>
          <w:sz w:val="22"/>
          <w:szCs w:val="22"/>
          <w:lang w:val="en-GB"/>
        </w:rPr>
        <w:t>-conducto</w:t>
      </w:r>
      <w:r w:rsidRPr="004E4805">
        <w:rPr>
          <w:rFonts w:ascii="Arial" w:hAnsi="Arial" w:cs="Arial"/>
          <w:color w:val="000000"/>
          <w:sz w:val="22"/>
          <w:szCs w:val="22"/>
          <w:lang w:val="en-GB"/>
        </w:rPr>
        <w:t xml:space="preserve">ring and new lines erection of 33 </w:t>
      </w:r>
      <w:r w:rsidR="007064FA">
        <w:rPr>
          <w:rFonts w:ascii="Arial" w:hAnsi="Arial" w:cs="Arial"/>
          <w:color w:val="000000"/>
          <w:sz w:val="22"/>
          <w:szCs w:val="22"/>
          <w:lang w:val="en-GB"/>
        </w:rPr>
        <w:t>KV and below, feeder separation</w:t>
      </w:r>
      <w:r w:rsidRPr="004E4805">
        <w:rPr>
          <w:rFonts w:ascii="Arial" w:hAnsi="Arial" w:cs="Arial"/>
          <w:color w:val="000000"/>
          <w:sz w:val="22"/>
          <w:szCs w:val="22"/>
          <w:lang w:val="en-GB"/>
        </w:rPr>
        <w:t>, HVDS, replacement of energy meters, installation of capacitor banks, IT implementation and energy audit. Hon`ble OERC vide its order dated 29.3.2012 &amp; 30.03.2012 has directed Gridco for release of assets for hypothecation and as of now, the matter is pending with Govt of Odisha/Gridco.</w:t>
      </w:r>
    </w:p>
    <w:p w:rsidR="00206E77" w:rsidRPr="00EF72CA" w:rsidRDefault="00206E77" w:rsidP="00CF66A5">
      <w:pPr>
        <w:pStyle w:val="ARR-normalbody"/>
        <w:numPr>
          <w:ilvl w:val="0"/>
          <w:numId w:val="47"/>
        </w:numPr>
        <w:rPr>
          <w:color w:val="000000"/>
        </w:rPr>
      </w:pPr>
      <w:r w:rsidRPr="00EF72CA">
        <w:rPr>
          <w:color w:val="000000"/>
        </w:rPr>
        <w:t xml:space="preserve">The licensee has been carrying out the business of retail supply of electricity since 1999 and has been subjected to a fair share of the maladies that afflict the distribution sector of the country at large. The issue of “business sustainability” looms large and with each passing day has become acute and intense. While crippling cash shortages </w:t>
      </w:r>
      <w:r>
        <w:rPr>
          <w:color w:val="000000"/>
        </w:rPr>
        <w:t xml:space="preserve">due to non recovery of cost of supply </w:t>
      </w:r>
      <w:r w:rsidRPr="00EF72CA">
        <w:rPr>
          <w:color w:val="000000"/>
        </w:rPr>
        <w:t xml:space="preserve">and steady denial of escrow relaxation, have </w:t>
      </w:r>
      <w:r w:rsidR="007064FA">
        <w:rPr>
          <w:color w:val="000000"/>
        </w:rPr>
        <w:t xml:space="preserve">further </w:t>
      </w:r>
      <w:r w:rsidRPr="00EF72CA">
        <w:rPr>
          <w:color w:val="000000"/>
        </w:rPr>
        <w:t>aggravated the situation</w:t>
      </w:r>
      <w:r>
        <w:rPr>
          <w:color w:val="000000"/>
        </w:rPr>
        <w:t xml:space="preserve">, </w:t>
      </w:r>
      <w:r w:rsidRPr="00EF72CA">
        <w:rPr>
          <w:color w:val="000000"/>
        </w:rPr>
        <w:t xml:space="preserve">the licensee has been providing steady supply and carrying out the capital intensive </w:t>
      </w:r>
      <w:r>
        <w:rPr>
          <w:color w:val="000000"/>
        </w:rPr>
        <w:t xml:space="preserve">rural non-remunerative </w:t>
      </w:r>
      <w:r w:rsidRPr="00EF72CA">
        <w:rPr>
          <w:color w:val="000000"/>
        </w:rPr>
        <w:t xml:space="preserve">activities under directions of the State Govt. The external environment has not been favourable. The consumer consumption profile has undergone a change with increase in LT consumption on account of rural electrification schemes like RGGVY while mineral based industries on account of closure of mines have shown a </w:t>
      </w:r>
      <w:r w:rsidR="007064FA">
        <w:rPr>
          <w:color w:val="000000"/>
        </w:rPr>
        <w:t xml:space="preserve">steady </w:t>
      </w:r>
      <w:r w:rsidRPr="00EF72CA">
        <w:rPr>
          <w:color w:val="000000"/>
        </w:rPr>
        <w:t>decline</w:t>
      </w:r>
      <w:r w:rsidR="007064FA">
        <w:rPr>
          <w:color w:val="000000"/>
        </w:rPr>
        <w:t xml:space="preserve"> in HT &amp; EHT consumption in the previous and current Financial Years</w:t>
      </w:r>
      <w:r w:rsidRPr="00EF72CA">
        <w:rPr>
          <w:color w:val="000000"/>
        </w:rPr>
        <w:t xml:space="preserve">.  </w:t>
      </w:r>
    </w:p>
    <w:p w:rsidR="00840E68" w:rsidRPr="004E4805" w:rsidRDefault="00840E68" w:rsidP="00840E68">
      <w:pPr>
        <w:autoSpaceDE w:val="0"/>
        <w:autoSpaceDN w:val="0"/>
        <w:adjustRightInd w:val="0"/>
        <w:spacing w:after="240" w:line="360" w:lineRule="auto"/>
        <w:ind w:left="450"/>
        <w:jc w:val="both"/>
        <w:rPr>
          <w:rFonts w:ascii="Arial" w:hAnsi="Arial" w:cs="Arial"/>
          <w:color w:val="000000"/>
          <w:sz w:val="22"/>
          <w:szCs w:val="22"/>
          <w:lang w:val="en-GB"/>
        </w:rPr>
      </w:pPr>
      <w:r w:rsidRPr="004E4805">
        <w:rPr>
          <w:rFonts w:ascii="Arial" w:hAnsi="Arial" w:cs="Arial"/>
          <w:color w:val="000000"/>
          <w:sz w:val="22"/>
          <w:szCs w:val="22"/>
          <w:lang w:val="en-GB"/>
        </w:rPr>
        <w:t>As of now, at existing tariffs</w:t>
      </w:r>
      <w:r w:rsidR="007064FA">
        <w:rPr>
          <w:rFonts w:ascii="Arial" w:hAnsi="Arial" w:cs="Arial"/>
          <w:color w:val="000000"/>
          <w:sz w:val="22"/>
          <w:szCs w:val="22"/>
          <w:lang w:val="en-GB"/>
        </w:rPr>
        <w:t xml:space="preserve">, the </w:t>
      </w:r>
      <w:r w:rsidRPr="004E4805">
        <w:rPr>
          <w:rFonts w:ascii="Arial" w:hAnsi="Arial" w:cs="Arial"/>
          <w:color w:val="000000"/>
          <w:sz w:val="22"/>
          <w:szCs w:val="22"/>
          <w:lang w:val="en-GB"/>
        </w:rPr>
        <w:t>Licensee is unab</w:t>
      </w:r>
      <w:r w:rsidR="007064FA">
        <w:rPr>
          <w:rFonts w:ascii="Arial" w:hAnsi="Arial" w:cs="Arial"/>
          <w:color w:val="000000"/>
          <w:sz w:val="22"/>
          <w:szCs w:val="22"/>
          <w:lang w:val="en-GB"/>
        </w:rPr>
        <w:t xml:space="preserve">le to meet its current costs, </w:t>
      </w:r>
      <w:r w:rsidRPr="004E4805">
        <w:rPr>
          <w:rFonts w:ascii="Arial" w:hAnsi="Arial" w:cs="Arial"/>
          <w:color w:val="000000"/>
          <w:sz w:val="22"/>
          <w:szCs w:val="22"/>
          <w:lang w:val="en-GB"/>
        </w:rPr>
        <w:t xml:space="preserve">and unless there is decrease in input costs in FY </w:t>
      </w:r>
      <w:r w:rsidR="007064FA">
        <w:rPr>
          <w:rFonts w:ascii="Arial" w:hAnsi="Arial" w:cs="Arial"/>
          <w:color w:val="000000"/>
          <w:sz w:val="22"/>
          <w:szCs w:val="22"/>
          <w:lang w:val="en-GB"/>
        </w:rPr>
        <w:t xml:space="preserve">2015-16 </w:t>
      </w:r>
      <w:r w:rsidRPr="004E4805">
        <w:rPr>
          <w:rFonts w:ascii="Arial" w:hAnsi="Arial" w:cs="Arial"/>
          <w:color w:val="000000"/>
          <w:sz w:val="22"/>
          <w:szCs w:val="22"/>
          <w:lang w:val="en-GB"/>
        </w:rPr>
        <w:t xml:space="preserve">or any grant/ subsidy is provided, the licensee </w:t>
      </w:r>
      <w:r w:rsidR="007064FA">
        <w:rPr>
          <w:rFonts w:ascii="Arial" w:hAnsi="Arial" w:cs="Arial"/>
          <w:color w:val="000000"/>
          <w:sz w:val="22"/>
          <w:szCs w:val="22"/>
          <w:lang w:val="en-GB"/>
        </w:rPr>
        <w:t xml:space="preserve">would be find it difficult to </w:t>
      </w:r>
      <w:r w:rsidRPr="004E4805">
        <w:rPr>
          <w:rFonts w:ascii="Arial" w:hAnsi="Arial" w:cs="Arial"/>
          <w:color w:val="000000"/>
          <w:sz w:val="22"/>
          <w:szCs w:val="22"/>
          <w:lang w:val="en-GB"/>
        </w:rPr>
        <w:t xml:space="preserve">meet its obligations as a distribution licensee. Accordingly the licensee prays that such exigencies </w:t>
      </w:r>
      <w:r w:rsidR="007064FA">
        <w:rPr>
          <w:rFonts w:ascii="Arial" w:hAnsi="Arial" w:cs="Arial"/>
          <w:color w:val="000000"/>
          <w:sz w:val="22"/>
          <w:szCs w:val="22"/>
          <w:lang w:val="en-GB"/>
        </w:rPr>
        <w:t xml:space="preserve">should be </w:t>
      </w:r>
      <w:r w:rsidRPr="004E4805">
        <w:rPr>
          <w:rFonts w:ascii="Arial" w:hAnsi="Arial" w:cs="Arial"/>
          <w:color w:val="000000"/>
          <w:sz w:val="22"/>
          <w:szCs w:val="22"/>
          <w:lang w:val="en-GB"/>
        </w:rPr>
        <w:t xml:space="preserve">considered while </w:t>
      </w:r>
      <w:r w:rsidR="007064FA">
        <w:rPr>
          <w:rFonts w:ascii="Arial" w:hAnsi="Arial" w:cs="Arial"/>
          <w:color w:val="000000"/>
          <w:sz w:val="22"/>
          <w:szCs w:val="22"/>
          <w:lang w:val="en-GB"/>
        </w:rPr>
        <w:t xml:space="preserve">approving </w:t>
      </w:r>
      <w:r w:rsidRPr="004E4805">
        <w:rPr>
          <w:rFonts w:ascii="Arial" w:hAnsi="Arial" w:cs="Arial"/>
          <w:color w:val="000000"/>
          <w:sz w:val="22"/>
          <w:szCs w:val="22"/>
          <w:lang w:val="en-GB"/>
        </w:rPr>
        <w:t>this Petition</w:t>
      </w:r>
      <w:r w:rsidR="007064FA">
        <w:rPr>
          <w:rFonts w:ascii="Arial" w:hAnsi="Arial" w:cs="Arial"/>
          <w:color w:val="000000"/>
          <w:sz w:val="22"/>
          <w:szCs w:val="22"/>
          <w:lang w:val="en-GB"/>
        </w:rPr>
        <w:t>.</w:t>
      </w:r>
    </w:p>
    <w:p w:rsidR="00EB59EB" w:rsidRPr="006641EC" w:rsidRDefault="00EB59EB" w:rsidP="00EB59EB">
      <w:pPr>
        <w:numPr>
          <w:ilvl w:val="1"/>
          <w:numId w:val="2"/>
        </w:numPr>
        <w:autoSpaceDE w:val="0"/>
        <w:autoSpaceDN w:val="0"/>
        <w:adjustRightInd w:val="0"/>
        <w:spacing w:after="240" w:line="360" w:lineRule="auto"/>
        <w:jc w:val="both"/>
        <w:rPr>
          <w:rFonts w:ascii="Arial" w:hAnsi="Arial" w:cs="Arial"/>
          <w:b/>
          <w:bCs/>
          <w:color w:val="000000"/>
          <w:sz w:val="22"/>
          <w:szCs w:val="22"/>
        </w:rPr>
      </w:pPr>
      <w:r w:rsidRPr="006641EC">
        <w:rPr>
          <w:rFonts w:ascii="Arial" w:hAnsi="Arial" w:cs="Arial"/>
          <w:b/>
          <w:bCs/>
          <w:color w:val="000000"/>
          <w:sz w:val="22"/>
          <w:szCs w:val="22"/>
        </w:rPr>
        <w:t>Prayer</w:t>
      </w:r>
    </w:p>
    <w:p w:rsidR="006641EC" w:rsidRPr="006641EC" w:rsidRDefault="006641EC" w:rsidP="006641EC">
      <w:pPr>
        <w:autoSpaceDE w:val="0"/>
        <w:autoSpaceDN w:val="0"/>
        <w:adjustRightInd w:val="0"/>
        <w:spacing w:after="240" w:line="360" w:lineRule="auto"/>
        <w:ind w:left="360"/>
        <w:jc w:val="both"/>
        <w:rPr>
          <w:rFonts w:ascii="Arial" w:hAnsi="Arial" w:cs="Arial"/>
          <w:color w:val="000000"/>
          <w:sz w:val="22"/>
          <w:szCs w:val="22"/>
          <w:lang w:val="en-GB"/>
        </w:rPr>
      </w:pPr>
      <w:r w:rsidRPr="006641EC">
        <w:rPr>
          <w:rFonts w:ascii="Arial" w:hAnsi="Arial" w:cs="Arial"/>
          <w:color w:val="000000"/>
          <w:sz w:val="22"/>
          <w:szCs w:val="22"/>
          <w:lang w:val="en-GB"/>
        </w:rPr>
        <w:t>In the aforesaid facts and circumstances, the licensee prays that the Hon’ble Commission may be pleased to:</w:t>
      </w:r>
    </w:p>
    <w:p w:rsidR="006641EC" w:rsidRPr="006641EC" w:rsidRDefault="006641EC" w:rsidP="006641EC">
      <w:pPr>
        <w:numPr>
          <w:ilvl w:val="0"/>
          <w:numId w:val="52"/>
        </w:numPr>
        <w:autoSpaceDE w:val="0"/>
        <w:autoSpaceDN w:val="0"/>
        <w:adjustRightInd w:val="0"/>
        <w:spacing w:line="360" w:lineRule="auto"/>
        <w:jc w:val="both"/>
        <w:rPr>
          <w:rFonts w:ascii="Arial" w:hAnsi="Arial" w:cs="Arial"/>
          <w:sz w:val="22"/>
          <w:szCs w:val="22"/>
          <w:lang w:val="en-GB"/>
        </w:rPr>
      </w:pPr>
      <w:r w:rsidRPr="006641EC">
        <w:rPr>
          <w:rFonts w:ascii="Arial" w:hAnsi="Arial" w:cs="Arial"/>
          <w:sz w:val="22"/>
          <w:szCs w:val="22"/>
          <w:lang w:val="en-GB"/>
        </w:rPr>
        <w:t>Take the ARR application and Tariff Petition on record.</w:t>
      </w:r>
    </w:p>
    <w:p w:rsidR="006641EC" w:rsidRPr="006641EC" w:rsidRDefault="006641EC" w:rsidP="006641EC">
      <w:pPr>
        <w:numPr>
          <w:ilvl w:val="0"/>
          <w:numId w:val="52"/>
        </w:numPr>
        <w:autoSpaceDE w:val="0"/>
        <w:autoSpaceDN w:val="0"/>
        <w:adjustRightInd w:val="0"/>
        <w:spacing w:line="360" w:lineRule="auto"/>
        <w:jc w:val="both"/>
        <w:rPr>
          <w:rFonts w:ascii="Arial" w:hAnsi="Arial" w:cs="Arial"/>
          <w:sz w:val="22"/>
          <w:szCs w:val="22"/>
          <w:lang w:val="en-GB"/>
        </w:rPr>
      </w:pPr>
      <w:r w:rsidRPr="006641EC">
        <w:rPr>
          <w:rFonts w:ascii="Arial" w:hAnsi="Arial" w:cs="Arial"/>
          <w:sz w:val="22"/>
          <w:szCs w:val="22"/>
          <w:lang w:val="en-GB"/>
        </w:rPr>
        <w:t>Approve the Annual Revenue Requirement for FY 2015-16 including amortisation of Regulatory Ass</w:t>
      </w:r>
      <w:r w:rsidR="007064FA">
        <w:rPr>
          <w:rFonts w:ascii="Arial" w:hAnsi="Arial" w:cs="Arial"/>
          <w:sz w:val="22"/>
          <w:szCs w:val="22"/>
          <w:lang w:val="en-GB"/>
        </w:rPr>
        <w:t xml:space="preserve">et on account of uncovered gap </w:t>
      </w:r>
      <w:r w:rsidRPr="006641EC">
        <w:rPr>
          <w:rFonts w:ascii="Arial" w:hAnsi="Arial" w:cs="Arial"/>
          <w:sz w:val="22"/>
          <w:szCs w:val="22"/>
          <w:lang w:val="en-GB"/>
        </w:rPr>
        <w:t>upto 2013-14</w:t>
      </w:r>
    </w:p>
    <w:p w:rsidR="007064FA" w:rsidRPr="007064FA" w:rsidRDefault="006641EC" w:rsidP="007064FA">
      <w:pPr>
        <w:numPr>
          <w:ilvl w:val="0"/>
          <w:numId w:val="52"/>
        </w:numPr>
        <w:autoSpaceDE w:val="0"/>
        <w:autoSpaceDN w:val="0"/>
        <w:adjustRightInd w:val="0"/>
        <w:spacing w:line="360" w:lineRule="auto"/>
        <w:jc w:val="both"/>
        <w:rPr>
          <w:rFonts w:ascii="Arial" w:hAnsi="Arial" w:cs="Arial"/>
          <w:sz w:val="22"/>
          <w:szCs w:val="22"/>
          <w:lang w:val="en-GB"/>
        </w:rPr>
      </w:pPr>
      <w:r w:rsidRPr="006641EC">
        <w:rPr>
          <w:rFonts w:ascii="Arial" w:hAnsi="Arial" w:cs="Arial"/>
          <w:sz w:val="22"/>
          <w:szCs w:val="22"/>
          <w:lang w:val="en-GB"/>
        </w:rPr>
        <w:lastRenderedPageBreak/>
        <w:t>Bridge the Revenue Gap for the FY 2015-16 through reductio</w:t>
      </w:r>
      <w:r w:rsidR="007064FA">
        <w:rPr>
          <w:rFonts w:ascii="Arial" w:hAnsi="Arial" w:cs="Arial"/>
          <w:sz w:val="22"/>
          <w:szCs w:val="22"/>
          <w:lang w:val="en-GB"/>
        </w:rPr>
        <w:t xml:space="preserve">n in Bulk Supply Tariff (BST), </w:t>
      </w:r>
      <w:r w:rsidRPr="006641EC">
        <w:rPr>
          <w:rFonts w:ascii="Arial" w:hAnsi="Arial" w:cs="Arial"/>
          <w:sz w:val="22"/>
          <w:szCs w:val="22"/>
          <w:lang w:val="en-GB"/>
        </w:rPr>
        <w:t>grant of subsidy from the Government of Odisha as per Section 65 of the Electricity Act 2003 and balance, if any increase in Retail Supply Tariff.</w:t>
      </w:r>
    </w:p>
    <w:p w:rsidR="006641EC" w:rsidRPr="006641EC" w:rsidRDefault="006641EC" w:rsidP="007064FA">
      <w:pPr>
        <w:numPr>
          <w:ilvl w:val="0"/>
          <w:numId w:val="52"/>
        </w:numPr>
        <w:spacing w:line="360" w:lineRule="auto"/>
        <w:jc w:val="both"/>
        <w:rPr>
          <w:rFonts w:ascii="Arial" w:hAnsi="Arial" w:cs="Arial"/>
          <w:sz w:val="22"/>
          <w:szCs w:val="22"/>
        </w:rPr>
      </w:pPr>
      <w:r w:rsidRPr="006641EC">
        <w:rPr>
          <w:rFonts w:ascii="Arial" w:hAnsi="Arial" w:cs="Arial"/>
          <w:sz w:val="22"/>
          <w:szCs w:val="22"/>
        </w:rPr>
        <w:t>To consider the Loss Trajectory accepted by Ministry of Power, Govt. of India.</w:t>
      </w:r>
    </w:p>
    <w:p w:rsidR="006641EC" w:rsidRPr="006641EC" w:rsidRDefault="006641EC" w:rsidP="007064FA">
      <w:pPr>
        <w:numPr>
          <w:ilvl w:val="0"/>
          <w:numId w:val="52"/>
        </w:numPr>
        <w:spacing w:line="360" w:lineRule="auto"/>
        <w:jc w:val="both"/>
        <w:rPr>
          <w:rFonts w:ascii="Arial" w:hAnsi="Arial" w:cs="Arial"/>
          <w:sz w:val="22"/>
          <w:szCs w:val="22"/>
        </w:rPr>
      </w:pPr>
      <w:r w:rsidRPr="006641EC">
        <w:rPr>
          <w:rFonts w:ascii="Arial" w:hAnsi="Arial" w:cs="Arial"/>
          <w:sz w:val="22"/>
          <w:szCs w:val="22"/>
        </w:rPr>
        <w:t>To give effect to the ATE Order dated 13the December 2006, 8</w:t>
      </w:r>
      <w:r w:rsidRPr="006641EC">
        <w:rPr>
          <w:rFonts w:ascii="Arial" w:hAnsi="Arial" w:cs="Arial"/>
          <w:sz w:val="22"/>
          <w:szCs w:val="22"/>
          <w:vertAlign w:val="superscript"/>
        </w:rPr>
        <w:t>th</w:t>
      </w:r>
      <w:r w:rsidRPr="006641EC">
        <w:rPr>
          <w:rFonts w:ascii="Arial" w:hAnsi="Arial" w:cs="Arial"/>
          <w:sz w:val="22"/>
          <w:szCs w:val="22"/>
        </w:rPr>
        <w:t xml:space="preserve"> November 2010</w:t>
      </w:r>
      <w:r w:rsidR="00755B2C">
        <w:rPr>
          <w:rFonts w:ascii="Arial" w:hAnsi="Arial" w:cs="Arial"/>
          <w:sz w:val="22"/>
          <w:szCs w:val="22"/>
        </w:rPr>
        <w:t>,</w:t>
      </w:r>
      <w:r w:rsidRPr="006641EC">
        <w:rPr>
          <w:rFonts w:ascii="Arial" w:hAnsi="Arial" w:cs="Arial"/>
          <w:sz w:val="22"/>
          <w:szCs w:val="22"/>
        </w:rPr>
        <w:t>3</w:t>
      </w:r>
      <w:r w:rsidRPr="006641EC">
        <w:rPr>
          <w:rFonts w:ascii="Arial" w:hAnsi="Arial" w:cs="Arial"/>
          <w:sz w:val="22"/>
          <w:szCs w:val="22"/>
          <w:vertAlign w:val="superscript"/>
        </w:rPr>
        <w:t>rd</w:t>
      </w:r>
      <w:r w:rsidRPr="006641EC">
        <w:rPr>
          <w:rFonts w:ascii="Arial" w:hAnsi="Arial" w:cs="Arial"/>
          <w:sz w:val="22"/>
          <w:szCs w:val="22"/>
        </w:rPr>
        <w:t xml:space="preserve"> July 2013 and 11</w:t>
      </w:r>
      <w:r w:rsidRPr="006641EC">
        <w:rPr>
          <w:rFonts w:ascii="Arial" w:hAnsi="Arial" w:cs="Arial"/>
          <w:sz w:val="22"/>
          <w:szCs w:val="22"/>
          <w:vertAlign w:val="superscript"/>
        </w:rPr>
        <w:t>th</w:t>
      </w:r>
      <w:r w:rsidRPr="006641EC">
        <w:rPr>
          <w:rFonts w:ascii="Arial" w:hAnsi="Arial" w:cs="Arial"/>
          <w:sz w:val="22"/>
          <w:szCs w:val="22"/>
        </w:rPr>
        <w:t xml:space="preserve"> February 2014 on different RST issues such as fixation of Distribution loss target and truing up etc.</w:t>
      </w:r>
    </w:p>
    <w:p w:rsidR="006641EC" w:rsidRPr="006641EC" w:rsidRDefault="006641EC" w:rsidP="007064FA">
      <w:pPr>
        <w:numPr>
          <w:ilvl w:val="0"/>
          <w:numId w:val="52"/>
        </w:numPr>
        <w:spacing w:line="360" w:lineRule="auto"/>
        <w:jc w:val="both"/>
        <w:rPr>
          <w:rFonts w:ascii="Arial" w:hAnsi="Arial" w:cs="Arial"/>
          <w:sz w:val="22"/>
          <w:szCs w:val="22"/>
        </w:rPr>
      </w:pPr>
      <w:r w:rsidRPr="006641EC">
        <w:rPr>
          <w:rFonts w:ascii="Arial" w:hAnsi="Arial" w:cs="Arial"/>
          <w:sz w:val="22"/>
          <w:szCs w:val="22"/>
        </w:rPr>
        <w:t xml:space="preserve">To direct Gridco and GoO to cede assets of </w:t>
      </w:r>
      <w:r w:rsidR="00755B2C">
        <w:rPr>
          <w:rFonts w:ascii="Arial" w:hAnsi="Arial" w:cs="Arial"/>
          <w:sz w:val="22"/>
          <w:szCs w:val="22"/>
        </w:rPr>
        <w:t>N</w:t>
      </w:r>
      <w:r w:rsidRPr="006641EC">
        <w:rPr>
          <w:rFonts w:ascii="Arial" w:hAnsi="Arial" w:cs="Arial"/>
          <w:sz w:val="22"/>
          <w:szCs w:val="22"/>
        </w:rPr>
        <w:t>esco for raising of loans for capex activities as directed by this Ho’ble Commission in several directives, including Order 29</w:t>
      </w:r>
      <w:r w:rsidRPr="006641EC">
        <w:rPr>
          <w:rFonts w:ascii="Arial" w:hAnsi="Arial" w:cs="Arial"/>
          <w:sz w:val="22"/>
          <w:szCs w:val="22"/>
          <w:vertAlign w:val="superscript"/>
        </w:rPr>
        <w:t>th</w:t>
      </w:r>
      <w:r w:rsidRPr="006641EC">
        <w:rPr>
          <w:rFonts w:ascii="Arial" w:hAnsi="Arial" w:cs="Arial"/>
          <w:sz w:val="22"/>
          <w:szCs w:val="22"/>
        </w:rPr>
        <w:t xml:space="preserve"> and 30</w:t>
      </w:r>
      <w:r w:rsidRPr="006641EC">
        <w:rPr>
          <w:rFonts w:ascii="Arial" w:hAnsi="Arial" w:cs="Arial"/>
          <w:sz w:val="22"/>
          <w:szCs w:val="22"/>
          <w:vertAlign w:val="superscript"/>
        </w:rPr>
        <w:t xml:space="preserve">th </w:t>
      </w:r>
      <w:r w:rsidRPr="006641EC">
        <w:rPr>
          <w:rFonts w:ascii="Arial" w:hAnsi="Arial" w:cs="Arial"/>
          <w:sz w:val="22"/>
          <w:szCs w:val="22"/>
        </w:rPr>
        <w:t xml:space="preserve">March 2012. </w:t>
      </w:r>
    </w:p>
    <w:p w:rsidR="006641EC" w:rsidRPr="006641EC" w:rsidRDefault="006641EC" w:rsidP="007064FA">
      <w:pPr>
        <w:numPr>
          <w:ilvl w:val="0"/>
          <w:numId w:val="52"/>
        </w:numPr>
        <w:autoSpaceDE w:val="0"/>
        <w:autoSpaceDN w:val="0"/>
        <w:adjustRightInd w:val="0"/>
        <w:spacing w:line="360" w:lineRule="auto"/>
        <w:jc w:val="both"/>
        <w:rPr>
          <w:rFonts w:ascii="Arial" w:hAnsi="Arial" w:cs="Arial"/>
          <w:b/>
          <w:sz w:val="22"/>
          <w:szCs w:val="22"/>
          <w:u w:val="single"/>
          <w:lang w:val="en-GB"/>
        </w:rPr>
      </w:pPr>
      <w:r w:rsidRPr="006641EC">
        <w:rPr>
          <w:rFonts w:ascii="Arial" w:hAnsi="Arial" w:cs="Arial"/>
          <w:sz w:val="22"/>
          <w:szCs w:val="22"/>
        </w:rPr>
        <w:t>To prioritize escrow relaxation as prayed for by the Licensee by considering  payment of Salary and R&amp;M expenses on equal priority (pari passu basis) with power purchase bill.</w:t>
      </w:r>
    </w:p>
    <w:p w:rsidR="006641EC" w:rsidRPr="006641EC" w:rsidRDefault="006641EC" w:rsidP="007064FA">
      <w:pPr>
        <w:numPr>
          <w:ilvl w:val="0"/>
          <w:numId w:val="52"/>
        </w:numPr>
        <w:autoSpaceDE w:val="0"/>
        <w:autoSpaceDN w:val="0"/>
        <w:adjustRightInd w:val="0"/>
        <w:spacing w:line="360" w:lineRule="auto"/>
        <w:jc w:val="both"/>
        <w:rPr>
          <w:rFonts w:ascii="Arial" w:hAnsi="Arial" w:cs="Arial"/>
          <w:b/>
          <w:sz w:val="22"/>
          <w:szCs w:val="22"/>
          <w:u w:val="single"/>
          <w:lang w:val="en-GB"/>
        </w:rPr>
      </w:pPr>
      <w:r w:rsidRPr="006641EC">
        <w:rPr>
          <w:rFonts w:ascii="Arial" w:hAnsi="Arial" w:cs="Arial"/>
          <w:sz w:val="22"/>
          <w:szCs w:val="22"/>
        </w:rPr>
        <w:t xml:space="preserve">Permit </w:t>
      </w:r>
      <w:r w:rsidR="00755B2C">
        <w:rPr>
          <w:rFonts w:ascii="Arial" w:hAnsi="Arial" w:cs="Arial"/>
          <w:sz w:val="22"/>
          <w:szCs w:val="22"/>
        </w:rPr>
        <w:t xml:space="preserve">Licensee </w:t>
      </w:r>
      <w:r w:rsidRPr="006641EC">
        <w:rPr>
          <w:rFonts w:ascii="Arial" w:hAnsi="Arial" w:cs="Arial"/>
          <w:sz w:val="22"/>
          <w:szCs w:val="22"/>
        </w:rPr>
        <w:t>to consider automatic relaxation of escrow from 16</w:t>
      </w:r>
      <w:r w:rsidRPr="006641EC">
        <w:rPr>
          <w:rFonts w:ascii="Arial" w:hAnsi="Arial" w:cs="Arial"/>
          <w:sz w:val="22"/>
          <w:szCs w:val="22"/>
          <w:vertAlign w:val="superscript"/>
        </w:rPr>
        <w:t>th</w:t>
      </w:r>
      <w:r w:rsidRPr="006641EC">
        <w:rPr>
          <w:rFonts w:ascii="Arial" w:hAnsi="Arial" w:cs="Arial"/>
          <w:sz w:val="22"/>
          <w:szCs w:val="22"/>
        </w:rPr>
        <w:t xml:space="preserve"> Day of payment of BST bill if GRIDCO don’t relax the same or don’t deny relaxation with specific reason.</w:t>
      </w:r>
    </w:p>
    <w:p w:rsidR="006641EC" w:rsidRPr="006641EC" w:rsidRDefault="006641EC" w:rsidP="007064FA">
      <w:pPr>
        <w:numPr>
          <w:ilvl w:val="0"/>
          <w:numId w:val="52"/>
        </w:numPr>
        <w:autoSpaceDE w:val="0"/>
        <w:autoSpaceDN w:val="0"/>
        <w:adjustRightInd w:val="0"/>
        <w:spacing w:line="360" w:lineRule="auto"/>
        <w:jc w:val="both"/>
        <w:rPr>
          <w:rFonts w:ascii="Arial" w:hAnsi="Arial" w:cs="Arial"/>
          <w:b/>
          <w:sz w:val="22"/>
          <w:szCs w:val="22"/>
          <w:u w:val="single"/>
          <w:lang w:val="en-GB"/>
        </w:rPr>
      </w:pPr>
      <w:r w:rsidRPr="006641EC">
        <w:rPr>
          <w:rFonts w:ascii="Arial" w:hAnsi="Arial" w:cs="Arial"/>
          <w:sz w:val="22"/>
          <w:szCs w:val="22"/>
        </w:rPr>
        <w:t xml:space="preserve">During Current year GRIDCO has not relaxed escrow for salary till Nov 14 </w:t>
      </w:r>
      <w:r w:rsidR="00755B2C">
        <w:rPr>
          <w:rFonts w:ascii="Arial" w:hAnsi="Arial" w:cs="Arial"/>
          <w:sz w:val="22"/>
          <w:szCs w:val="22"/>
        </w:rPr>
        <w:t>except the two months of August-14 and September-</w:t>
      </w:r>
      <w:r w:rsidRPr="006641EC">
        <w:rPr>
          <w:rFonts w:ascii="Arial" w:hAnsi="Arial" w:cs="Arial"/>
          <w:sz w:val="22"/>
          <w:szCs w:val="22"/>
        </w:rPr>
        <w:t>14.This kind of situation may be avoided in future.</w:t>
      </w:r>
    </w:p>
    <w:p w:rsidR="006641EC" w:rsidRPr="007064FA" w:rsidRDefault="00755B2C" w:rsidP="007064FA">
      <w:pPr>
        <w:numPr>
          <w:ilvl w:val="0"/>
          <w:numId w:val="52"/>
        </w:numPr>
        <w:autoSpaceDE w:val="0"/>
        <w:autoSpaceDN w:val="0"/>
        <w:adjustRightInd w:val="0"/>
        <w:spacing w:line="360" w:lineRule="auto"/>
        <w:jc w:val="both"/>
        <w:rPr>
          <w:rFonts w:ascii="Arial" w:hAnsi="Arial" w:cs="Arial"/>
          <w:b/>
          <w:sz w:val="22"/>
          <w:szCs w:val="22"/>
          <w:u w:val="single"/>
          <w:lang w:val="en-GB"/>
        </w:rPr>
      </w:pPr>
      <w:r>
        <w:rPr>
          <w:rFonts w:ascii="Arial" w:hAnsi="Arial" w:cs="Arial"/>
          <w:sz w:val="22"/>
          <w:szCs w:val="22"/>
        </w:rPr>
        <w:t>To do away with Intra-</w:t>
      </w:r>
      <w:r w:rsidR="006641EC" w:rsidRPr="006641EC">
        <w:rPr>
          <w:rFonts w:ascii="Arial" w:hAnsi="Arial" w:cs="Arial"/>
          <w:sz w:val="22"/>
          <w:szCs w:val="22"/>
        </w:rPr>
        <w:t xml:space="preserve">state ABT till generators are involved. </w:t>
      </w:r>
    </w:p>
    <w:p w:rsidR="007064FA" w:rsidRPr="006641EC" w:rsidRDefault="007064FA" w:rsidP="007064FA">
      <w:pPr>
        <w:autoSpaceDE w:val="0"/>
        <w:autoSpaceDN w:val="0"/>
        <w:adjustRightInd w:val="0"/>
        <w:spacing w:line="360" w:lineRule="auto"/>
        <w:ind w:left="1080"/>
        <w:jc w:val="both"/>
        <w:rPr>
          <w:rFonts w:ascii="Arial" w:hAnsi="Arial" w:cs="Arial"/>
          <w:b/>
          <w:sz w:val="22"/>
          <w:szCs w:val="22"/>
          <w:u w:val="single"/>
          <w:lang w:val="en-GB"/>
        </w:rPr>
      </w:pPr>
    </w:p>
    <w:p w:rsidR="006641EC" w:rsidRPr="006641EC" w:rsidRDefault="006641EC" w:rsidP="006641EC">
      <w:pPr>
        <w:autoSpaceDE w:val="0"/>
        <w:autoSpaceDN w:val="0"/>
        <w:adjustRightInd w:val="0"/>
        <w:spacing w:after="240" w:line="360" w:lineRule="auto"/>
        <w:ind w:left="1080"/>
        <w:jc w:val="both"/>
        <w:rPr>
          <w:rFonts w:ascii="Arial" w:hAnsi="Arial" w:cs="Arial"/>
          <w:b/>
          <w:sz w:val="22"/>
          <w:szCs w:val="22"/>
          <w:u w:val="single"/>
          <w:lang w:val="en-GB"/>
        </w:rPr>
      </w:pPr>
      <w:r w:rsidRPr="006641EC">
        <w:rPr>
          <w:rFonts w:ascii="Arial" w:hAnsi="Arial" w:cs="Arial"/>
          <w:b/>
          <w:sz w:val="22"/>
          <w:szCs w:val="22"/>
          <w:u w:val="single"/>
          <w:lang w:val="en-GB"/>
        </w:rPr>
        <w:t>Allow the following Tariff rationalisation measures as proposed</w:t>
      </w:r>
    </w:p>
    <w:p w:rsidR="006641EC" w:rsidRPr="006641EC" w:rsidRDefault="006641EC" w:rsidP="00755B2C">
      <w:pPr>
        <w:numPr>
          <w:ilvl w:val="0"/>
          <w:numId w:val="53"/>
        </w:numPr>
        <w:autoSpaceDE w:val="0"/>
        <w:autoSpaceDN w:val="0"/>
        <w:adjustRightInd w:val="0"/>
        <w:spacing w:line="360" w:lineRule="auto"/>
        <w:jc w:val="both"/>
        <w:rPr>
          <w:rFonts w:ascii="Arial" w:hAnsi="Arial" w:cs="Arial"/>
          <w:sz w:val="22"/>
          <w:szCs w:val="22"/>
        </w:rPr>
      </w:pPr>
      <w:r w:rsidRPr="006641EC">
        <w:rPr>
          <w:rFonts w:ascii="Arial" w:hAnsi="Arial" w:cs="Arial"/>
          <w:sz w:val="22"/>
          <w:szCs w:val="22"/>
        </w:rPr>
        <w:t xml:space="preserve">Introduction of KVAH Billing </w:t>
      </w:r>
    </w:p>
    <w:p w:rsidR="006641EC" w:rsidRPr="006641EC" w:rsidRDefault="00755B2C" w:rsidP="00755B2C">
      <w:pPr>
        <w:numPr>
          <w:ilvl w:val="0"/>
          <w:numId w:val="53"/>
        </w:numPr>
        <w:autoSpaceDE w:val="0"/>
        <w:autoSpaceDN w:val="0"/>
        <w:adjustRightInd w:val="0"/>
        <w:spacing w:line="360" w:lineRule="auto"/>
        <w:jc w:val="both"/>
        <w:rPr>
          <w:rFonts w:ascii="Arial" w:hAnsi="Arial" w:cs="Arial"/>
          <w:sz w:val="22"/>
          <w:szCs w:val="22"/>
        </w:rPr>
      </w:pPr>
      <w:r>
        <w:rPr>
          <w:rFonts w:ascii="Arial" w:hAnsi="Arial" w:cs="Arial"/>
          <w:sz w:val="22"/>
          <w:szCs w:val="22"/>
        </w:rPr>
        <w:t>Two-</w:t>
      </w:r>
      <w:r w:rsidR="006641EC" w:rsidRPr="006641EC">
        <w:rPr>
          <w:rFonts w:ascii="Arial" w:hAnsi="Arial" w:cs="Arial"/>
          <w:sz w:val="22"/>
          <w:szCs w:val="22"/>
        </w:rPr>
        <w:t>part tariff be made applicable in respect of Emergency power supply category to Captive Power Plants (CPP).</w:t>
      </w:r>
    </w:p>
    <w:p w:rsidR="006641EC" w:rsidRPr="006641EC" w:rsidRDefault="006641EC" w:rsidP="00755B2C">
      <w:pPr>
        <w:numPr>
          <w:ilvl w:val="0"/>
          <w:numId w:val="53"/>
        </w:numPr>
        <w:autoSpaceDE w:val="0"/>
        <w:autoSpaceDN w:val="0"/>
        <w:adjustRightInd w:val="0"/>
        <w:spacing w:line="360" w:lineRule="auto"/>
        <w:jc w:val="both"/>
        <w:rPr>
          <w:rFonts w:ascii="Arial" w:hAnsi="Arial" w:cs="Arial"/>
          <w:sz w:val="22"/>
          <w:szCs w:val="22"/>
        </w:rPr>
      </w:pPr>
      <w:r w:rsidRPr="006641EC">
        <w:rPr>
          <w:rFonts w:ascii="Arial" w:hAnsi="Arial" w:cs="Arial"/>
          <w:sz w:val="22"/>
          <w:szCs w:val="22"/>
        </w:rPr>
        <w:t>Exclusion of Meter Rent, Penalties and DPS from the computation of Miscellaneous Revenue.</w:t>
      </w:r>
    </w:p>
    <w:p w:rsidR="006641EC" w:rsidRPr="006641EC" w:rsidRDefault="006641EC" w:rsidP="00755B2C">
      <w:pPr>
        <w:numPr>
          <w:ilvl w:val="0"/>
          <w:numId w:val="53"/>
        </w:numPr>
        <w:autoSpaceDE w:val="0"/>
        <w:autoSpaceDN w:val="0"/>
        <w:adjustRightInd w:val="0"/>
        <w:spacing w:line="360" w:lineRule="auto"/>
        <w:jc w:val="both"/>
        <w:rPr>
          <w:rFonts w:ascii="Arial" w:hAnsi="Arial" w:cs="Arial"/>
          <w:sz w:val="22"/>
          <w:szCs w:val="22"/>
        </w:rPr>
      </w:pPr>
      <w:r w:rsidRPr="006641EC">
        <w:rPr>
          <w:rFonts w:ascii="Arial" w:hAnsi="Arial" w:cs="Arial"/>
          <w:sz w:val="22"/>
          <w:szCs w:val="22"/>
        </w:rPr>
        <w:t>Extending of levy of reliability surcharge from the consumers availing power supply through shared industrial feeders.</w:t>
      </w:r>
    </w:p>
    <w:p w:rsidR="006641EC" w:rsidRPr="006641EC" w:rsidRDefault="006641EC" w:rsidP="00755B2C">
      <w:pPr>
        <w:numPr>
          <w:ilvl w:val="0"/>
          <w:numId w:val="53"/>
        </w:numPr>
        <w:autoSpaceDE w:val="0"/>
        <w:autoSpaceDN w:val="0"/>
        <w:adjustRightInd w:val="0"/>
        <w:spacing w:line="360" w:lineRule="auto"/>
        <w:jc w:val="both"/>
        <w:rPr>
          <w:rFonts w:ascii="Arial" w:hAnsi="Arial" w:cs="Arial"/>
          <w:sz w:val="22"/>
          <w:szCs w:val="22"/>
        </w:rPr>
      </w:pPr>
      <w:r w:rsidRPr="006641EC">
        <w:rPr>
          <w:rFonts w:ascii="Arial" w:hAnsi="Arial" w:cs="Arial"/>
          <w:sz w:val="22"/>
          <w:szCs w:val="22"/>
        </w:rPr>
        <w:t>Introduction of MMFC for Consumers with Contract Demand &lt;110 KVA on the basis of MD recorded or connected load whichever is higher.</w:t>
      </w:r>
    </w:p>
    <w:p w:rsidR="006641EC" w:rsidRPr="006641EC" w:rsidRDefault="006641EC" w:rsidP="00755B2C">
      <w:pPr>
        <w:numPr>
          <w:ilvl w:val="0"/>
          <w:numId w:val="53"/>
        </w:numPr>
        <w:autoSpaceDE w:val="0"/>
        <w:autoSpaceDN w:val="0"/>
        <w:adjustRightInd w:val="0"/>
        <w:spacing w:line="360" w:lineRule="auto"/>
        <w:jc w:val="both"/>
        <w:rPr>
          <w:rFonts w:ascii="Arial" w:hAnsi="Arial" w:cs="Arial"/>
          <w:sz w:val="22"/>
          <w:szCs w:val="22"/>
        </w:rPr>
      </w:pPr>
      <w:r w:rsidRPr="006641EC">
        <w:rPr>
          <w:rFonts w:ascii="Arial" w:hAnsi="Arial" w:cs="Arial"/>
          <w:sz w:val="22"/>
          <w:szCs w:val="22"/>
        </w:rPr>
        <w:t>Applicability of Demand Charges for GP&gt; 70KVA and &lt; 110KVA and HT Industrial(M) supply</w:t>
      </w:r>
    </w:p>
    <w:p w:rsidR="006641EC" w:rsidRPr="00755B2C" w:rsidRDefault="006641EC" w:rsidP="00755B2C">
      <w:pPr>
        <w:numPr>
          <w:ilvl w:val="0"/>
          <w:numId w:val="53"/>
        </w:numPr>
        <w:autoSpaceDE w:val="0"/>
        <w:autoSpaceDN w:val="0"/>
        <w:adjustRightInd w:val="0"/>
        <w:spacing w:line="360" w:lineRule="auto"/>
        <w:jc w:val="both"/>
        <w:rPr>
          <w:rFonts w:ascii="Arial" w:hAnsi="Arial" w:cs="Arial"/>
          <w:b/>
          <w:sz w:val="22"/>
          <w:szCs w:val="22"/>
          <w:u w:val="single"/>
        </w:rPr>
      </w:pPr>
      <w:r w:rsidRPr="006641EC">
        <w:rPr>
          <w:rFonts w:ascii="Arial" w:hAnsi="Arial" w:cs="Arial"/>
          <w:sz w:val="22"/>
          <w:szCs w:val="22"/>
        </w:rPr>
        <w:lastRenderedPageBreak/>
        <w:t>2% Rebate be allowed on</w:t>
      </w:r>
      <w:r w:rsidRPr="006641EC">
        <w:rPr>
          <w:rFonts w:ascii="Arial" w:hAnsi="Arial" w:cs="Arial"/>
          <w:b/>
          <w:sz w:val="22"/>
          <w:szCs w:val="22"/>
          <w:u w:val="single"/>
          <w:lang w:val="en-GB"/>
        </w:rPr>
        <w:t xml:space="preserve"> payment of current monthly BST bills (excluding all arrears) within 3 days time instead of 2 working </w:t>
      </w:r>
      <w:r w:rsidRPr="00755B2C">
        <w:rPr>
          <w:rFonts w:ascii="Arial" w:hAnsi="Arial" w:cs="Arial"/>
          <w:b/>
          <w:sz w:val="22"/>
          <w:szCs w:val="22"/>
          <w:u w:val="single"/>
          <w:lang w:val="en-GB"/>
        </w:rPr>
        <w:t>da</w:t>
      </w:r>
      <w:r w:rsidRPr="00755B2C">
        <w:rPr>
          <w:rFonts w:ascii="Arial" w:hAnsi="Arial" w:cs="Arial"/>
          <w:b/>
          <w:sz w:val="22"/>
          <w:szCs w:val="22"/>
        </w:rPr>
        <w:t>ys</w:t>
      </w:r>
      <w:r w:rsidRPr="00755B2C">
        <w:rPr>
          <w:rFonts w:ascii="Arial" w:hAnsi="Arial" w:cs="Arial"/>
          <w:b/>
          <w:sz w:val="22"/>
          <w:szCs w:val="22"/>
          <w:u w:val="single"/>
        </w:rPr>
        <w:t xml:space="preserve"> or 7</w:t>
      </w:r>
      <w:r w:rsidRPr="00755B2C">
        <w:rPr>
          <w:rFonts w:ascii="Arial" w:hAnsi="Arial" w:cs="Arial"/>
          <w:b/>
          <w:sz w:val="22"/>
          <w:szCs w:val="22"/>
          <w:u w:val="single"/>
          <w:vertAlign w:val="superscript"/>
        </w:rPr>
        <w:t>th</w:t>
      </w:r>
      <w:r w:rsidRPr="00755B2C">
        <w:rPr>
          <w:rFonts w:ascii="Arial" w:hAnsi="Arial" w:cs="Arial"/>
          <w:b/>
          <w:sz w:val="22"/>
          <w:szCs w:val="22"/>
          <w:u w:val="single"/>
        </w:rPr>
        <w:t xml:space="preserve"> of next month whichever is later. </w:t>
      </w:r>
    </w:p>
    <w:p w:rsidR="006641EC" w:rsidRPr="006641EC" w:rsidRDefault="006641EC" w:rsidP="00755B2C">
      <w:pPr>
        <w:numPr>
          <w:ilvl w:val="0"/>
          <w:numId w:val="53"/>
        </w:numPr>
        <w:autoSpaceDE w:val="0"/>
        <w:autoSpaceDN w:val="0"/>
        <w:adjustRightInd w:val="0"/>
        <w:spacing w:line="360" w:lineRule="auto"/>
        <w:jc w:val="both"/>
        <w:rPr>
          <w:rFonts w:ascii="Arial" w:hAnsi="Arial" w:cs="Arial"/>
          <w:sz w:val="22"/>
          <w:szCs w:val="22"/>
        </w:rPr>
      </w:pPr>
      <w:r w:rsidRPr="006641EC">
        <w:rPr>
          <w:rFonts w:ascii="Arial" w:hAnsi="Arial" w:cs="Arial"/>
          <w:sz w:val="22"/>
          <w:szCs w:val="22"/>
        </w:rPr>
        <w:t>GoO may be directed to provide subsidy to meet cost of supply to the consumers fed from the dedicated agriculture and fishery feeders.</w:t>
      </w:r>
    </w:p>
    <w:p w:rsidR="006641EC" w:rsidRPr="006641EC" w:rsidRDefault="006641EC" w:rsidP="00755B2C">
      <w:pPr>
        <w:numPr>
          <w:ilvl w:val="0"/>
          <w:numId w:val="53"/>
        </w:numPr>
        <w:autoSpaceDE w:val="0"/>
        <w:autoSpaceDN w:val="0"/>
        <w:adjustRightInd w:val="0"/>
        <w:spacing w:line="360" w:lineRule="auto"/>
        <w:jc w:val="both"/>
        <w:rPr>
          <w:rFonts w:ascii="Arial" w:hAnsi="Arial" w:cs="Arial"/>
          <w:sz w:val="22"/>
          <w:szCs w:val="22"/>
        </w:rPr>
      </w:pPr>
      <w:r w:rsidRPr="006641EC">
        <w:rPr>
          <w:rFonts w:ascii="Arial" w:hAnsi="Arial" w:cs="Arial"/>
          <w:sz w:val="22"/>
          <w:szCs w:val="22"/>
        </w:rPr>
        <w:t>Addressing of negative cash flow of Licensee by giving special relief towards reduction of BST and increasing amortization of Regulatory Assets.</w:t>
      </w:r>
    </w:p>
    <w:p w:rsidR="006641EC" w:rsidRPr="006641EC" w:rsidRDefault="006641EC" w:rsidP="00755B2C">
      <w:pPr>
        <w:numPr>
          <w:ilvl w:val="0"/>
          <w:numId w:val="53"/>
        </w:numPr>
        <w:autoSpaceDE w:val="0"/>
        <w:autoSpaceDN w:val="0"/>
        <w:adjustRightInd w:val="0"/>
        <w:spacing w:line="360" w:lineRule="auto"/>
        <w:jc w:val="both"/>
        <w:rPr>
          <w:rFonts w:ascii="Arial" w:hAnsi="Arial" w:cs="Arial"/>
          <w:sz w:val="22"/>
          <w:szCs w:val="22"/>
        </w:rPr>
      </w:pPr>
      <w:r w:rsidRPr="006641EC">
        <w:rPr>
          <w:rFonts w:ascii="Arial" w:hAnsi="Arial" w:cs="Arial"/>
          <w:sz w:val="22"/>
          <w:szCs w:val="22"/>
        </w:rPr>
        <w:t>Other Tariff rationalization measures and concerns viz. increase of meter rent in case of Pre-paid meters etc. as proposed in this application</w:t>
      </w:r>
    </w:p>
    <w:p w:rsidR="006641EC" w:rsidRPr="006641EC" w:rsidRDefault="006641EC" w:rsidP="00755B2C">
      <w:pPr>
        <w:numPr>
          <w:ilvl w:val="0"/>
          <w:numId w:val="53"/>
        </w:numPr>
        <w:autoSpaceDE w:val="0"/>
        <w:autoSpaceDN w:val="0"/>
        <w:adjustRightInd w:val="0"/>
        <w:spacing w:line="360" w:lineRule="auto"/>
        <w:jc w:val="both"/>
        <w:rPr>
          <w:rFonts w:ascii="Arial" w:hAnsi="Arial" w:cs="Arial"/>
          <w:sz w:val="22"/>
          <w:szCs w:val="22"/>
          <w:lang w:val="en-GB"/>
        </w:rPr>
      </w:pPr>
      <w:r w:rsidRPr="006641EC">
        <w:rPr>
          <w:rFonts w:ascii="Arial" w:hAnsi="Arial" w:cs="Arial"/>
          <w:sz w:val="22"/>
          <w:szCs w:val="22"/>
          <w:lang w:val="en-GB"/>
        </w:rPr>
        <w:t>Allowing recovery of 5p</w:t>
      </w:r>
      <w:r w:rsidR="003D516E">
        <w:rPr>
          <w:rFonts w:ascii="Arial" w:hAnsi="Arial" w:cs="Arial"/>
          <w:sz w:val="22"/>
          <w:szCs w:val="22"/>
          <w:lang w:val="en-GB"/>
        </w:rPr>
        <w:t xml:space="preserve">aisa </w:t>
      </w:r>
      <w:r w:rsidRPr="006641EC">
        <w:rPr>
          <w:rFonts w:ascii="Arial" w:hAnsi="Arial" w:cs="Arial"/>
          <w:sz w:val="22"/>
          <w:szCs w:val="22"/>
          <w:lang w:val="en-GB"/>
        </w:rPr>
        <w:t>/u</w:t>
      </w:r>
      <w:r w:rsidR="003D516E">
        <w:rPr>
          <w:rFonts w:ascii="Arial" w:hAnsi="Arial" w:cs="Arial"/>
          <w:sz w:val="22"/>
          <w:szCs w:val="22"/>
          <w:lang w:val="en-GB"/>
        </w:rPr>
        <w:t>nit</w:t>
      </w:r>
      <w:r w:rsidRPr="006641EC">
        <w:rPr>
          <w:rFonts w:ascii="Arial" w:hAnsi="Arial" w:cs="Arial"/>
          <w:sz w:val="22"/>
          <w:szCs w:val="22"/>
          <w:lang w:val="en-GB"/>
        </w:rPr>
        <w:t xml:space="preserve"> towards Organisational Set</w:t>
      </w:r>
      <w:r w:rsidR="00755B2C">
        <w:rPr>
          <w:rFonts w:ascii="Arial" w:hAnsi="Arial" w:cs="Arial"/>
          <w:sz w:val="22"/>
          <w:szCs w:val="22"/>
          <w:lang w:val="en-GB"/>
        </w:rPr>
        <w:t>-</w:t>
      </w:r>
      <w:r w:rsidRPr="006641EC">
        <w:rPr>
          <w:rFonts w:ascii="Arial" w:hAnsi="Arial" w:cs="Arial"/>
          <w:sz w:val="22"/>
          <w:szCs w:val="22"/>
          <w:lang w:val="en-GB"/>
        </w:rPr>
        <w:t>up Cost for Disaster Management.</w:t>
      </w:r>
    </w:p>
    <w:p w:rsidR="006641EC" w:rsidRPr="006641EC" w:rsidRDefault="006641EC" w:rsidP="00755B2C">
      <w:pPr>
        <w:numPr>
          <w:ilvl w:val="0"/>
          <w:numId w:val="53"/>
        </w:numPr>
        <w:autoSpaceDE w:val="0"/>
        <w:autoSpaceDN w:val="0"/>
        <w:adjustRightInd w:val="0"/>
        <w:spacing w:line="360" w:lineRule="auto"/>
        <w:jc w:val="both"/>
        <w:rPr>
          <w:rFonts w:ascii="Arial" w:hAnsi="Arial" w:cs="Arial"/>
          <w:sz w:val="22"/>
          <w:szCs w:val="22"/>
          <w:lang w:val="en-GB"/>
        </w:rPr>
      </w:pPr>
      <w:r w:rsidRPr="006641EC">
        <w:rPr>
          <w:rFonts w:ascii="Arial" w:hAnsi="Arial" w:cs="Arial"/>
          <w:sz w:val="22"/>
          <w:szCs w:val="22"/>
          <w:lang w:val="en-GB"/>
        </w:rPr>
        <w:t>Allow the licensee to submit additional documents, modify the present petition, if so required, during the proceeding</w:t>
      </w:r>
      <w:r w:rsidR="00755B2C">
        <w:rPr>
          <w:rFonts w:ascii="Arial" w:hAnsi="Arial" w:cs="Arial"/>
          <w:sz w:val="22"/>
          <w:szCs w:val="22"/>
          <w:lang w:val="en-GB"/>
        </w:rPr>
        <w:t>s</w:t>
      </w:r>
      <w:r w:rsidRPr="006641EC">
        <w:rPr>
          <w:rFonts w:ascii="Arial" w:hAnsi="Arial" w:cs="Arial"/>
          <w:sz w:val="22"/>
          <w:szCs w:val="22"/>
          <w:lang w:val="en-GB"/>
        </w:rPr>
        <w:t xml:space="preserve"> of this application.</w:t>
      </w:r>
    </w:p>
    <w:p w:rsidR="006641EC" w:rsidRPr="006641EC" w:rsidRDefault="006641EC" w:rsidP="00755B2C">
      <w:pPr>
        <w:numPr>
          <w:ilvl w:val="0"/>
          <w:numId w:val="53"/>
        </w:numPr>
        <w:autoSpaceDE w:val="0"/>
        <w:autoSpaceDN w:val="0"/>
        <w:adjustRightInd w:val="0"/>
        <w:spacing w:line="360" w:lineRule="auto"/>
        <w:jc w:val="both"/>
        <w:rPr>
          <w:rFonts w:ascii="Arial" w:hAnsi="Arial" w:cs="Arial"/>
          <w:sz w:val="22"/>
          <w:szCs w:val="22"/>
          <w:lang w:val="en-GB"/>
        </w:rPr>
      </w:pPr>
      <w:r w:rsidRPr="006641EC">
        <w:rPr>
          <w:rFonts w:ascii="Arial" w:hAnsi="Arial" w:cs="Arial"/>
          <w:sz w:val="22"/>
          <w:szCs w:val="22"/>
          <w:lang w:val="en-GB"/>
        </w:rPr>
        <w:t>Any other relief, order or direction which the Hon’ble Commission deems fit.</w:t>
      </w:r>
    </w:p>
    <w:p w:rsidR="004276A0" w:rsidRPr="006641EC" w:rsidRDefault="004276A0" w:rsidP="004276A0">
      <w:pPr>
        <w:pStyle w:val="Heading1"/>
        <w:numPr>
          <w:ilvl w:val="0"/>
          <w:numId w:val="1"/>
        </w:numPr>
        <w:spacing w:line="360" w:lineRule="auto"/>
        <w:jc w:val="both"/>
        <w:rPr>
          <w:sz w:val="22"/>
          <w:szCs w:val="22"/>
        </w:rPr>
      </w:pPr>
      <w:bookmarkStart w:id="2" w:name="_Toc404940131"/>
      <w:r w:rsidRPr="006641EC">
        <w:rPr>
          <w:sz w:val="22"/>
          <w:szCs w:val="22"/>
        </w:rPr>
        <w:t>Revenue Requirement for FY 2015-16</w:t>
      </w:r>
      <w:bookmarkEnd w:id="2"/>
    </w:p>
    <w:p w:rsidR="004276A0" w:rsidRPr="006641EC" w:rsidRDefault="004276A0" w:rsidP="004276A0">
      <w:pPr>
        <w:pStyle w:val="BodyText2"/>
        <w:spacing w:line="360" w:lineRule="auto"/>
        <w:jc w:val="both"/>
        <w:rPr>
          <w:rFonts w:cs="Arial"/>
          <w:sz w:val="22"/>
          <w:szCs w:val="22"/>
          <w:lang w:val="en-GB"/>
        </w:rPr>
      </w:pPr>
      <w:r w:rsidRPr="006641EC">
        <w:rPr>
          <w:rFonts w:cs="Arial"/>
          <w:sz w:val="22"/>
          <w:szCs w:val="22"/>
          <w:lang w:val="en-GB"/>
        </w:rPr>
        <w:t>This section outlines the assumptions for estimation of revenue requirement for FY 2015-16.</w:t>
      </w:r>
    </w:p>
    <w:p w:rsidR="003012C6" w:rsidRPr="006641EC" w:rsidRDefault="003012C6" w:rsidP="003012C6">
      <w:pPr>
        <w:pStyle w:val="Heading1"/>
        <w:numPr>
          <w:ilvl w:val="1"/>
          <w:numId w:val="1"/>
        </w:numPr>
        <w:spacing w:line="360" w:lineRule="auto"/>
        <w:jc w:val="both"/>
        <w:rPr>
          <w:sz w:val="22"/>
          <w:szCs w:val="22"/>
        </w:rPr>
      </w:pPr>
      <w:bookmarkStart w:id="3" w:name="_Toc404940132"/>
      <w:r w:rsidRPr="006641EC">
        <w:rPr>
          <w:sz w:val="22"/>
          <w:szCs w:val="22"/>
        </w:rPr>
        <w:t>Data Sources</w:t>
      </w:r>
      <w:bookmarkEnd w:id="3"/>
    </w:p>
    <w:p w:rsidR="003012C6" w:rsidRPr="006641EC" w:rsidRDefault="003012C6" w:rsidP="003012C6">
      <w:pPr>
        <w:pStyle w:val="ARR-normalbody"/>
        <w:ind w:left="0"/>
        <w:rPr>
          <w:lang w:val="en-US"/>
        </w:rPr>
      </w:pPr>
      <w:r w:rsidRPr="006641EC">
        <w:rPr>
          <w:lang w:val="en-US"/>
        </w:rPr>
        <w:t xml:space="preserve">The Licensee is complying with the information requirements of the Hon’ble Commission for the purpose of making this application for annual revenue requirement and tariff for the year 2015-16. The schedule of formats submitted along with this proposal is shown in the Table of Contents. The </w:t>
      </w:r>
      <w:r w:rsidR="003D516E">
        <w:rPr>
          <w:lang w:val="en-US"/>
        </w:rPr>
        <w:t xml:space="preserve">annual </w:t>
      </w:r>
      <w:r w:rsidRPr="006641EC">
        <w:rPr>
          <w:lang w:val="en-US"/>
        </w:rPr>
        <w:t>Accounts up to March 2014 have been audited as per Companies Act and copies of the audited accounts have already been submitted to the Hon’ble Commission. The Licensee has relied upon the Audited Accounts up to March 2014 and actual data up to Sep</w:t>
      </w:r>
      <w:r w:rsidR="00755B2C">
        <w:rPr>
          <w:lang w:val="en-US"/>
        </w:rPr>
        <w:t>t</w:t>
      </w:r>
      <w:r w:rsidRPr="006641EC">
        <w:rPr>
          <w:lang w:val="en-US"/>
        </w:rPr>
        <w:t>-14 for compilation of data and preparation of this ARR.</w:t>
      </w:r>
    </w:p>
    <w:p w:rsidR="003012C6" w:rsidRPr="006641EC" w:rsidRDefault="003012C6" w:rsidP="003012C6">
      <w:pPr>
        <w:pStyle w:val="ARR-normalbody"/>
        <w:ind w:left="0"/>
        <w:rPr>
          <w:lang w:val="en-US"/>
        </w:rPr>
      </w:pPr>
      <w:r w:rsidRPr="006641EC">
        <w:rPr>
          <w:lang w:val="en-US"/>
        </w:rPr>
        <w:t xml:space="preserve">The Licensee would like to submit that the input cost </w:t>
      </w:r>
      <w:r w:rsidR="00D078B7" w:rsidRPr="006641EC">
        <w:rPr>
          <w:lang w:val="en-US"/>
        </w:rPr>
        <w:t>is the most important cost for N</w:t>
      </w:r>
      <w:r w:rsidRPr="006641EC">
        <w:rPr>
          <w:lang w:val="en-US"/>
        </w:rPr>
        <w:t xml:space="preserve">ESCO. For authentication of input cost, the BSP bills on the basis of scheduled energy received from the bulk supplier, GRIDCO, Transmission Charges on the basis of actual energy received from OPTCL, SLDC charges received from SLDC and </w:t>
      </w:r>
      <w:r w:rsidR="000C53A5" w:rsidRPr="006641EC">
        <w:rPr>
          <w:lang w:val="en-US"/>
        </w:rPr>
        <w:t xml:space="preserve">deviation/UI computed on the basis of BSP rate </w:t>
      </w:r>
      <w:r w:rsidRPr="006641EC">
        <w:rPr>
          <w:lang w:val="en-US"/>
        </w:rPr>
        <w:t>has been taken into account.</w:t>
      </w:r>
    </w:p>
    <w:p w:rsidR="003012C6" w:rsidRPr="006641EC" w:rsidRDefault="003012C6" w:rsidP="003012C6">
      <w:pPr>
        <w:pStyle w:val="BodyText2"/>
        <w:spacing w:line="360" w:lineRule="auto"/>
        <w:jc w:val="both"/>
        <w:rPr>
          <w:rFonts w:cs="Arial"/>
          <w:sz w:val="22"/>
          <w:szCs w:val="22"/>
        </w:rPr>
      </w:pPr>
      <w:r w:rsidRPr="006641EC">
        <w:rPr>
          <w:rFonts w:cs="Arial"/>
          <w:sz w:val="22"/>
          <w:szCs w:val="22"/>
        </w:rPr>
        <w:t>Thus, the Licensee would submit that the data given by us is authentic and reliable for formulation of Revenue Requirement and Tariff Application for the year 2015</w:t>
      </w:r>
      <w:r w:rsidR="00DB454F" w:rsidRPr="006641EC">
        <w:rPr>
          <w:rFonts w:cs="Arial"/>
          <w:sz w:val="22"/>
          <w:szCs w:val="22"/>
        </w:rPr>
        <w:t>-16</w:t>
      </w:r>
      <w:r w:rsidRPr="006641EC">
        <w:rPr>
          <w:rFonts w:cs="Arial"/>
          <w:sz w:val="22"/>
          <w:szCs w:val="22"/>
        </w:rPr>
        <w:t>.</w:t>
      </w:r>
    </w:p>
    <w:p w:rsidR="004276A0" w:rsidRPr="006641EC" w:rsidRDefault="004276A0" w:rsidP="004276A0">
      <w:pPr>
        <w:pStyle w:val="Heading1"/>
        <w:numPr>
          <w:ilvl w:val="1"/>
          <w:numId w:val="1"/>
        </w:numPr>
        <w:spacing w:line="360" w:lineRule="auto"/>
        <w:jc w:val="both"/>
        <w:rPr>
          <w:sz w:val="22"/>
          <w:szCs w:val="22"/>
        </w:rPr>
      </w:pPr>
      <w:bookmarkStart w:id="4" w:name="_Toc404940133"/>
      <w:r w:rsidRPr="006641EC">
        <w:rPr>
          <w:sz w:val="22"/>
          <w:szCs w:val="22"/>
        </w:rPr>
        <w:lastRenderedPageBreak/>
        <w:t>Sales Forecast</w:t>
      </w:r>
      <w:bookmarkEnd w:id="4"/>
    </w:p>
    <w:p w:rsidR="00D078B7" w:rsidRPr="006641EC" w:rsidRDefault="00D078B7" w:rsidP="00BC74C7">
      <w:pPr>
        <w:pStyle w:val="BodyText2"/>
        <w:spacing w:line="360" w:lineRule="auto"/>
        <w:ind w:left="360"/>
        <w:jc w:val="both"/>
        <w:rPr>
          <w:rFonts w:cs="Arial"/>
          <w:sz w:val="22"/>
          <w:szCs w:val="22"/>
        </w:rPr>
      </w:pPr>
      <w:r w:rsidRPr="006641EC">
        <w:rPr>
          <w:rFonts w:cs="Arial"/>
          <w:sz w:val="22"/>
          <w:szCs w:val="22"/>
        </w:rPr>
        <w:t>For projecting the consumption of different cat</w:t>
      </w:r>
      <w:r w:rsidR="008C50B4">
        <w:rPr>
          <w:rFonts w:cs="Arial"/>
          <w:sz w:val="22"/>
          <w:szCs w:val="22"/>
        </w:rPr>
        <w:t>egories, the Licensee has analyz</w:t>
      </w:r>
      <w:r w:rsidRPr="006641EC">
        <w:rPr>
          <w:rFonts w:cs="Arial"/>
          <w:sz w:val="22"/>
          <w:szCs w:val="22"/>
        </w:rPr>
        <w:t>ed the past trends of consumption pattern for last ten years i.e. FY 2001-02 to FY 2013-14. In addition</w:t>
      </w:r>
      <w:r w:rsidR="008C50B4">
        <w:rPr>
          <w:rFonts w:cs="Arial"/>
          <w:sz w:val="22"/>
          <w:szCs w:val="22"/>
        </w:rPr>
        <w:t>,</w:t>
      </w:r>
      <w:r w:rsidRPr="006641EC">
        <w:rPr>
          <w:rFonts w:cs="Arial"/>
          <w:sz w:val="22"/>
          <w:szCs w:val="22"/>
        </w:rPr>
        <w:t xml:space="preserve"> the Licensee has relied on the audited accounts for FY 2013-14 and actual sales data for the first six months of FY 2014-15. While projecting the sales of domestic and irrigation category, the Licensee has factored in the impact of electrification of new villages under the RGGVY, Biju Saharanchal Vidyutikaran Yojana and Biju Grama Jyoti Yojana. The growth in the Domestic LT Category has been estimated in FY2015-16 </w:t>
      </w:r>
      <w:r w:rsidR="00C334F7">
        <w:rPr>
          <w:rFonts w:cs="Arial"/>
          <w:sz w:val="22"/>
          <w:szCs w:val="22"/>
        </w:rPr>
        <w:t>at 16</w:t>
      </w:r>
      <w:r w:rsidRPr="006641EC">
        <w:rPr>
          <w:rFonts w:cs="Arial"/>
          <w:sz w:val="22"/>
          <w:szCs w:val="22"/>
        </w:rPr>
        <w:t xml:space="preserve">%. However, for HT and EHT category of consumers, the consumption has been projected based on current / past trends, actual addition of loads and other factors such as global recession along with temporary disconnection of consumers in HT Category (steel </w:t>
      </w:r>
      <w:r w:rsidR="00BD34DC">
        <w:rPr>
          <w:rFonts w:cs="Arial"/>
          <w:sz w:val="22"/>
          <w:szCs w:val="22"/>
        </w:rPr>
        <w:t xml:space="preserve">/ ferro alloys </w:t>
      </w:r>
      <w:r w:rsidRPr="006641EC">
        <w:rPr>
          <w:rFonts w:cs="Arial"/>
          <w:sz w:val="22"/>
          <w:szCs w:val="22"/>
        </w:rPr>
        <w:t xml:space="preserve">industries) upon which the licensee was depending in the past also. The summary of consumption projected for FY 2015-16 is discussed in </w:t>
      </w:r>
      <w:r w:rsidR="00C334F7">
        <w:rPr>
          <w:rFonts w:cs="Arial"/>
          <w:sz w:val="22"/>
          <w:szCs w:val="22"/>
        </w:rPr>
        <w:t xml:space="preserve">the </w:t>
      </w:r>
      <w:r w:rsidRPr="006641EC">
        <w:rPr>
          <w:rFonts w:cs="Arial"/>
          <w:sz w:val="22"/>
          <w:szCs w:val="22"/>
        </w:rPr>
        <w:t>following sections.</w:t>
      </w:r>
    </w:p>
    <w:p w:rsidR="00226F9F" w:rsidRDefault="00226F9F" w:rsidP="00BD34DC">
      <w:pPr>
        <w:pStyle w:val="BodyText2"/>
        <w:spacing w:line="360" w:lineRule="auto"/>
        <w:ind w:firstLine="360"/>
        <w:jc w:val="both"/>
        <w:rPr>
          <w:rFonts w:cs="Arial"/>
          <w:b/>
          <w:sz w:val="22"/>
          <w:szCs w:val="22"/>
        </w:rPr>
      </w:pPr>
    </w:p>
    <w:p w:rsidR="004276A0" w:rsidRPr="00533CC4" w:rsidRDefault="004276A0" w:rsidP="00BD34DC">
      <w:pPr>
        <w:pStyle w:val="BodyText2"/>
        <w:spacing w:line="360" w:lineRule="auto"/>
        <w:ind w:firstLine="360"/>
        <w:jc w:val="both"/>
        <w:rPr>
          <w:rFonts w:cs="Arial"/>
          <w:b/>
          <w:sz w:val="22"/>
          <w:szCs w:val="22"/>
        </w:rPr>
      </w:pPr>
      <w:r w:rsidRPr="00533CC4">
        <w:rPr>
          <w:rFonts w:cs="Arial"/>
          <w:b/>
          <w:sz w:val="22"/>
          <w:szCs w:val="22"/>
        </w:rPr>
        <w:t>LT Category</w:t>
      </w:r>
    </w:p>
    <w:p w:rsidR="00226F9F" w:rsidRDefault="00226F9F" w:rsidP="00533CC4">
      <w:pPr>
        <w:pStyle w:val="BodyText2"/>
        <w:spacing w:line="360" w:lineRule="auto"/>
        <w:ind w:left="360"/>
        <w:jc w:val="both"/>
        <w:rPr>
          <w:rFonts w:cs="Arial"/>
          <w:sz w:val="22"/>
          <w:szCs w:val="22"/>
        </w:rPr>
      </w:pPr>
    </w:p>
    <w:p w:rsidR="00CB0C9C" w:rsidRDefault="00CB0C9C" w:rsidP="00533CC4">
      <w:pPr>
        <w:pStyle w:val="BodyText2"/>
        <w:spacing w:line="360" w:lineRule="auto"/>
        <w:ind w:left="360"/>
        <w:jc w:val="both"/>
        <w:rPr>
          <w:rFonts w:cs="Arial"/>
          <w:sz w:val="22"/>
          <w:szCs w:val="22"/>
        </w:rPr>
      </w:pPr>
      <w:r w:rsidRPr="00533CC4">
        <w:rPr>
          <w:rFonts w:cs="Arial"/>
          <w:sz w:val="22"/>
          <w:szCs w:val="22"/>
        </w:rPr>
        <w:t>The growth in the domestic ca</w:t>
      </w:r>
      <w:r w:rsidR="00BD34DC">
        <w:rPr>
          <w:rFonts w:cs="Arial"/>
          <w:sz w:val="22"/>
          <w:szCs w:val="22"/>
        </w:rPr>
        <w:t>tegory has been estimated at 16</w:t>
      </w:r>
      <w:r w:rsidRPr="00533CC4">
        <w:rPr>
          <w:rFonts w:cs="Arial"/>
          <w:sz w:val="22"/>
          <w:szCs w:val="22"/>
        </w:rPr>
        <w:t>% during FY 2015-16 as against th</w:t>
      </w:r>
      <w:r w:rsidR="00BD34DC">
        <w:rPr>
          <w:rFonts w:cs="Arial"/>
          <w:sz w:val="22"/>
          <w:szCs w:val="22"/>
        </w:rPr>
        <w:t>e estimated growth of around 29</w:t>
      </w:r>
      <w:r w:rsidRPr="00533CC4">
        <w:rPr>
          <w:rFonts w:cs="Arial"/>
          <w:sz w:val="22"/>
          <w:szCs w:val="22"/>
        </w:rPr>
        <w:t>% during FY 2014-15. The Licensee would like to submit that under various schemes like R</w:t>
      </w:r>
      <w:r w:rsidR="00BD34DC">
        <w:rPr>
          <w:rFonts w:cs="Arial"/>
          <w:sz w:val="22"/>
          <w:szCs w:val="22"/>
        </w:rPr>
        <w:t>GGVY,BSVY, BGJY etc. many house</w:t>
      </w:r>
      <w:r w:rsidRPr="00533CC4">
        <w:rPr>
          <w:rFonts w:cs="Arial"/>
          <w:sz w:val="22"/>
          <w:szCs w:val="22"/>
        </w:rPr>
        <w:t>holds are likely to be electrified and around 857</w:t>
      </w:r>
      <w:r w:rsidR="00BD34DC">
        <w:rPr>
          <w:rFonts w:cs="Arial"/>
          <w:sz w:val="22"/>
          <w:szCs w:val="22"/>
        </w:rPr>
        <w:t>,</w:t>
      </w:r>
      <w:r w:rsidRPr="00533CC4">
        <w:rPr>
          <w:rFonts w:cs="Arial"/>
          <w:sz w:val="22"/>
          <w:szCs w:val="22"/>
        </w:rPr>
        <w:t>000 nos of BPL (Below Poverty Line) consumers will be added by Mar</w:t>
      </w:r>
      <w:r w:rsidR="00BD34DC">
        <w:rPr>
          <w:rFonts w:cs="Arial"/>
          <w:sz w:val="22"/>
          <w:szCs w:val="22"/>
        </w:rPr>
        <w:t xml:space="preserve">ch 2016. The balance number of </w:t>
      </w:r>
      <w:r w:rsidRPr="00533CC4">
        <w:rPr>
          <w:rFonts w:cs="Arial"/>
          <w:sz w:val="22"/>
          <w:szCs w:val="22"/>
        </w:rPr>
        <w:t xml:space="preserve">consumers under RGGVY Scheme will be brought into the billing fold of the ensuing year FY 2015-16 and the impact of same has been considered while estimating the sales for </w:t>
      </w:r>
      <w:r w:rsidR="00BD34DC">
        <w:rPr>
          <w:rFonts w:cs="Arial"/>
          <w:sz w:val="22"/>
          <w:szCs w:val="22"/>
        </w:rPr>
        <w:t>K</w:t>
      </w:r>
      <w:r w:rsidRPr="00533CC4">
        <w:rPr>
          <w:rFonts w:cs="Arial"/>
          <w:sz w:val="22"/>
          <w:szCs w:val="22"/>
        </w:rPr>
        <w:t xml:space="preserve">utir </w:t>
      </w:r>
      <w:r w:rsidR="00BD34DC">
        <w:rPr>
          <w:rFonts w:cs="Arial"/>
          <w:sz w:val="22"/>
          <w:szCs w:val="22"/>
        </w:rPr>
        <w:t>J</w:t>
      </w:r>
      <w:r w:rsidRPr="00533CC4">
        <w:rPr>
          <w:rFonts w:cs="Arial"/>
          <w:sz w:val="22"/>
          <w:szCs w:val="22"/>
        </w:rPr>
        <w:t>yoti and domestic category respectively for FY 2015-16.</w:t>
      </w:r>
    </w:p>
    <w:p w:rsidR="00CB0C9C" w:rsidRPr="00533CC4" w:rsidRDefault="00CB0C9C" w:rsidP="00533CC4">
      <w:pPr>
        <w:pStyle w:val="BodyText2"/>
        <w:spacing w:line="360" w:lineRule="auto"/>
        <w:ind w:left="360"/>
        <w:jc w:val="both"/>
        <w:rPr>
          <w:rFonts w:cs="Arial"/>
          <w:sz w:val="22"/>
          <w:szCs w:val="22"/>
        </w:rPr>
      </w:pPr>
      <w:r w:rsidRPr="00533CC4">
        <w:rPr>
          <w:rFonts w:cs="Arial"/>
          <w:sz w:val="22"/>
          <w:szCs w:val="22"/>
        </w:rPr>
        <w:t>The growth in the sales of other categories in the LT sector has</w:t>
      </w:r>
      <w:r w:rsidR="002505F1" w:rsidRPr="00533CC4">
        <w:rPr>
          <w:rFonts w:cs="Arial"/>
          <w:sz w:val="22"/>
          <w:szCs w:val="22"/>
        </w:rPr>
        <w:t xml:space="preserve"> been e</w:t>
      </w:r>
      <w:r w:rsidR="00BD34DC">
        <w:rPr>
          <w:rFonts w:cs="Arial"/>
          <w:sz w:val="22"/>
          <w:szCs w:val="22"/>
        </w:rPr>
        <w:t>stimated in the range within 10</w:t>
      </w:r>
      <w:r w:rsidRPr="00533CC4">
        <w:rPr>
          <w:rFonts w:cs="Arial"/>
          <w:sz w:val="22"/>
          <w:szCs w:val="22"/>
        </w:rPr>
        <w:t xml:space="preserve">% during 2015-16 considering the past trends except irrigation and pumping and </w:t>
      </w:r>
      <w:r w:rsidR="002505F1" w:rsidRPr="00533CC4">
        <w:rPr>
          <w:rFonts w:cs="Arial"/>
          <w:sz w:val="22"/>
          <w:szCs w:val="22"/>
        </w:rPr>
        <w:t>Allied Agro Categories</w:t>
      </w:r>
      <w:r w:rsidRPr="00533CC4">
        <w:rPr>
          <w:rFonts w:cs="Arial"/>
          <w:sz w:val="22"/>
          <w:szCs w:val="22"/>
        </w:rPr>
        <w:t xml:space="preserve"> where growth rate has been estimated at </w:t>
      </w:r>
      <w:r w:rsidR="00BD34DC">
        <w:rPr>
          <w:rFonts w:cs="Arial"/>
          <w:sz w:val="22"/>
          <w:szCs w:val="22"/>
        </w:rPr>
        <w:t>28</w:t>
      </w:r>
      <w:r w:rsidRPr="00533CC4">
        <w:rPr>
          <w:rFonts w:cs="Arial"/>
          <w:sz w:val="22"/>
          <w:szCs w:val="22"/>
        </w:rPr>
        <w:t xml:space="preserve">% and </w:t>
      </w:r>
      <w:r w:rsidR="00BD34DC">
        <w:rPr>
          <w:rFonts w:cs="Arial"/>
          <w:sz w:val="22"/>
          <w:szCs w:val="22"/>
        </w:rPr>
        <w:t>95</w:t>
      </w:r>
      <w:r w:rsidRPr="00533CC4">
        <w:rPr>
          <w:rFonts w:cs="Arial"/>
          <w:sz w:val="22"/>
          <w:szCs w:val="22"/>
        </w:rPr>
        <w:t xml:space="preserve">% respectively. </w:t>
      </w:r>
    </w:p>
    <w:p w:rsidR="00CB0C9C" w:rsidRPr="00533CC4" w:rsidRDefault="00CB0C9C" w:rsidP="00533CC4">
      <w:pPr>
        <w:pStyle w:val="BodyText2"/>
        <w:spacing w:line="360" w:lineRule="auto"/>
        <w:ind w:left="360"/>
        <w:jc w:val="both"/>
        <w:rPr>
          <w:rFonts w:cs="Arial"/>
          <w:sz w:val="22"/>
          <w:szCs w:val="22"/>
        </w:rPr>
      </w:pPr>
      <w:r w:rsidRPr="00533CC4">
        <w:rPr>
          <w:rFonts w:cs="Arial"/>
          <w:sz w:val="22"/>
          <w:szCs w:val="22"/>
        </w:rPr>
        <w:t>The domestic sales during last three years have increased in higher proportion as compared to previous years due to massive village electrification schemes. The summary of sales projections for LT category is given in following</w:t>
      </w:r>
      <w:r w:rsidR="00226F9F">
        <w:rPr>
          <w:rFonts w:cs="Arial"/>
          <w:sz w:val="22"/>
          <w:szCs w:val="22"/>
        </w:rPr>
        <w:t xml:space="preserve"> table</w:t>
      </w:r>
      <w:r w:rsidRPr="00533CC4">
        <w:rPr>
          <w:rFonts w:cs="Arial"/>
          <w:sz w:val="22"/>
          <w:szCs w:val="22"/>
        </w:rPr>
        <w:t>:</w:t>
      </w:r>
    </w:p>
    <w:p w:rsidR="00226F9F" w:rsidRDefault="00226F9F" w:rsidP="00CB0C9C">
      <w:pPr>
        <w:pStyle w:val="BodyText2"/>
        <w:spacing w:line="360" w:lineRule="auto"/>
        <w:jc w:val="center"/>
        <w:rPr>
          <w:rFonts w:ascii="Cambria" w:hAnsi="Cambria"/>
          <w:b/>
          <w:sz w:val="24"/>
          <w:szCs w:val="24"/>
        </w:rPr>
      </w:pPr>
    </w:p>
    <w:p w:rsidR="00CB0C9C" w:rsidRPr="0063756A" w:rsidRDefault="00226F9F" w:rsidP="00226F9F">
      <w:pPr>
        <w:pStyle w:val="BodyText2"/>
        <w:spacing w:line="360" w:lineRule="auto"/>
        <w:rPr>
          <w:rFonts w:ascii="Cambria" w:hAnsi="Cambria"/>
          <w:b/>
          <w:sz w:val="24"/>
          <w:szCs w:val="24"/>
        </w:rPr>
      </w:pPr>
      <w:r>
        <w:rPr>
          <w:rFonts w:ascii="Cambria" w:hAnsi="Cambria"/>
          <w:b/>
          <w:sz w:val="24"/>
          <w:szCs w:val="24"/>
        </w:rPr>
        <w:tab/>
      </w:r>
      <w:r>
        <w:rPr>
          <w:rFonts w:ascii="Cambria" w:hAnsi="Cambria"/>
          <w:b/>
          <w:sz w:val="24"/>
          <w:szCs w:val="24"/>
        </w:rPr>
        <w:tab/>
      </w:r>
      <w:r>
        <w:rPr>
          <w:rFonts w:ascii="Cambria" w:hAnsi="Cambria"/>
          <w:b/>
          <w:sz w:val="24"/>
          <w:szCs w:val="24"/>
        </w:rPr>
        <w:tab/>
      </w:r>
      <w:r>
        <w:rPr>
          <w:rFonts w:ascii="Cambria" w:hAnsi="Cambria"/>
          <w:b/>
          <w:sz w:val="24"/>
          <w:szCs w:val="24"/>
        </w:rPr>
        <w:tab/>
      </w:r>
      <w:r>
        <w:rPr>
          <w:rFonts w:ascii="Cambria" w:hAnsi="Cambria"/>
          <w:b/>
          <w:sz w:val="24"/>
          <w:szCs w:val="24"/>
        </w:rPr>
        <w:tab/>
      </w:r>
      <w:r>
        <w:rPr>
          <w:rFonts w:ascii="Cambria" w:hAnsi="Cambria"/>
          <w:b/>
          <w:sz w:val="24"/>
          <w:szCs w:val="24"/>
        </w:rPr>
        <w:tab/>
      </w:r>
      <w:r>
        <w:rPr>
          <w:rFonts w:ascii="Cambria" w:hAnsi="Cambria"/>
          <w:b/>
          <w:sz w:val="24"/>
          <w:szCs w:val="24"/>
        </w:rPr>
        <w:tab/>
      </w:r>
      <w:r>
        <w:rPr>
          <w:rFonts w:ascii="Cambria" w:hAnsi="Cambria"/>
          <w:b/>
          <w:sz w:val="24"/>
          <w:szCs w:val="24"/>
        </w:rPr>
        <w:tab/>
      </w:r>
      <w:r>
        <w:rPr>
          <w:rFonts w:ascii="Cambria" w:hAnsi="Cambria"/>
          <w:b/>
          <w:sz w:val="24"/>
          <w:szCs w:val="24"/>
        </w:rPr>
        <w:tab/>
      </w:r>
      <w:r>
        <w:rPr>
          <w:rFonts w:ascii="Cambria" w:hAnsi="Cambria"/>
          <w:b/>
          <w:sz w:val="24"/>
          <w:szCs w:val="24"/>
        </w:rPr>
        <w:tab/>
      </w:r>
      <w:r w:rsidR="00CB0C9C" w:rsidRPr="0063756A">
        <w:rPr>
          <w:rFonts w:ascii="Cambria" w:hAnsi="Cambria"/>
          <w:b/>
          <w:sz w:val="24"/>
          <w:szCs w:val="24"/>
        </w:rPr>
        <w:t>MU</w:t>
      </w:r>
    </w:p>
    <w:tbl>
      <w:tblPr>
        <w:tblW w:w="7930" w:type="dxa"/>
        <w:tblInd w:w="98" w:type="dxa"/>
        <w:tblLayout w:type="fixed"/>
        <w:tblLook w:val="04A0"/>
      </w:tblPr>
      <w:tblGrid>
        <w:gridCol w:w="3070"/>
        <w:gridCol w:w="1620"/>
        <w:gridCol w:w="1620"/>
        <w:gridCol w:w="1620"/>
      </w:tblGrid>
      <w:tr w:rsidR="00CB0C9C" w:rsidRPr="00533CC4" w:rsidTr="00AE0BAB">
        <w:trPr>
          <w:trHeight w:val="330"/>
        </w:trPr>
        <w:tc>
          <w:tcPr>
            <w:tcW w:w="3070" w:type="dxa"/>
            <w:tcBorders>
              <w:top w:val="single" w:sz="8" w:space="0" w:color="auto"/>
              <w:left w:val="single" w:sz="8" w:space="0" w:color="auto"/>
              <w:bottom w:val="single" w:sz="8" w:space="0" w:color="auto"/>
              <w:right w:val="single" w:sz="8" w:space="0" w:color="auto"/>
            </w:tcBorders>
            <w:shd w:val="clear" w:color="000000" w:fill="FF9900"/>
            <w:noWrap/>
            <w:vAlign w:val="bottom"/>
            <w:hideMark/>
          </w:tcPr>
          <w:p w:rsidR="00CB0C9C" w:rsidRPr="00533CC4" w:rsidRDefault="00CB0C9C" w:rsidP="00AE0BAB">
            <w:pPr>
              <w:jc w:val="center"/>
              <w:rPr>
                <w:rFonts w:ascii="Arial" w:hAnsi="Arial" w:cs="Arial"/>
                <w:b/>
                <w:bCs/>
                <w:sz w:val="22"/>
                <w:szCs w:val="22"/>
              </w:rPr>
            </w:pPr>
            <w:r w:rsidRPr="00533CC4">
              <w:rPr>
                <w:rFonts w:ascii="Arial" w:hAnsi="Arial" w:cs="Arial"/>
                <w:b/>
                <w:bCs/>
                <w:sz w:val="22"/>
                <w:szCs w:val="22"/>
              </w:rPr>
              <w:t>Sales</w:t>
            </w:r>
          </w:p>
        </w:tc>
        <w:tc>
          <w:tcPr>
            <w:tcW w:w="1620" w:type="dxa"/>
            <w:tcBorders>
              <w:top w:val="single" w:sz="8" w:space="0" w:color="auto"/>
              <w:left w:val="nil"/>
              <w:bottom w:val="single" w:sz="8" w:space="0" w:color="auto"/>
              <w:right w:val="single" w:sz="8" w:space="0" w:color="auto"/>
            </w:tcBorders>
            <w:shd w:val="clear" w:color="000000" w:fill="FF9900"/>
            <w:noWrap/>
            <w:vAlign w:val="bottom"/>
            <w:hideMark/>
          </w:tcPr>
          <w:p w:rsidR="00CB0C9C" w:rsidRPr="00533CC4" w:rsidRDefault="00CB0C9C" w:rsidP="00AE0BAB">
            <w:pPr>
              <w:jc w:val="center"/>
              <w:rPr>
                <w:rFonts w:ascii="Arial" w:hAnsi="Arial" w:cs="Arial"/>
                <w:b/>
                <w:bCs/>
                <w:sz w:val="22"/>
                <w:szCs w:val="22"/>
              </w:rPr>
            </w:pPr>
            <w:r w:rsidRPr="00533CC4">
              <w:rPr>
                <w:rFonts w:ascii="Arial" w:hAnsi="Arial" w:cs="Arial"/>
                <w:b/>
                <w:bCs/>
                <w:sz w:val="22"/>
                <w:szCs w:val="22"/>
              </w:rPr>
              <w:t>FY 2013-14</w:t>
            </w:r>
          </w:p>
        </w:tc>
        <w:tc>
          <w:tcPr>
            <w:tcW w:w="1620" w:type="dxa"/>
            <w:tcBorders>
              <w:top w:val="single" w:sz="8" w:space="0" w:color="auto"/>
              <w:left w:val="nil"/>
              <w:bottom w:val="single" w:sz="8" w:space="0" w:color="auto"/>
              <w:right w:val="single" w:sz="8" w:space="0" w:color="auto"/>
            </w:tcBorders>
            <w:shd w:val="clear" w:color="000000" w:fill="FF9900"/>
            <w:vAlign w:val="bottom"/>
            <w:hideMark/>
          </w:tcPr>
          <w:p w:rsidR="00CB0C9C" w:rsidRPr="00533CC4" w:rsidRDefault="00CB0C9C" w:rsidP="00AE0BAB">
            <w:pPr>
              <w:jc w:val="center"/>
              <w:rPr>
                <w:rFonts w:ascii="Arial" w:hAnsi="Arial" w:cs="Arial"/>
                <w:b/>
                <w:bCs/>
                <w:sz w:val="22"/>
                <w:szCs w:val="22"/>
              </w:rPr>
            </w:pPr>
            <w:r w:rsidRPr="00533CC4">
              <w:rPr>
                <w:rFonts w:ascii="Arial" w:hAnsi="Arial" w:cs="Arial"/>
                <w:b/>
                <w:bCs/>
                <w:sz w:val="22"/>
                <w:szCs w:val="22"/>
              </w:rPr>
              <w:t>FY 2014-15</w:t>
            </w:r>
          </w:p>
        </w:tc>
        <w:tc>
          <w:tcPr>
            <w:tcW w:w="1620" w:type="dxa"/>
            <w:tcBorders>
              <w:top w:val="single" w:sz="8" w:space="0" w:color="auto"/>
              <w:left w:val="nil"/>
              <w:bottom w:val="single" w:sz="8" w:space="0" w:color="auto"/>
              <w:right w:val="single" w:sz="8" w:space="0" w:color="auto"/>
            </w:tcBorders>
            <w:shd w:val="clear" w:color="000000" w:fill="FF9900"/>
            <w:hideMark/>
          </w:tcPr>
          <w:p w:rsidR="00CB0C9C" w:rsidRPr="00533CC4" w:rsidRDefault="00CB0C9C" w:rsidP="00AE0BAB">
            <w:pPr>
              <w:jc w:val="center"/>
              <w:rPr>
                <w:rFonts w:ascii="Arial" w:hAnsi="Arial" w:cs="Arial"/>
                <w:b/>
                <w:bCs/>
                <w:sz w:val="22"/>
                <w:szCs w:val="22"/>
              </w:rPr>
            </w:pPr>
            <w:r w:rsidRPr="00533CC4">
              <w:rPr>
                <w:rFonts w:ascii="Arial" w:hAnsi="Arial" w:cs="Arial"/>
                <w:b/>
                <w:bCs/>
                <w:sz w:val="22"/>
                <w:szCs w:val="22"/>
              </w:rPr>
              <w:t>FY 2015-16</w:t>
            </w:r>
          </w:p>
        </w:tc>
      </w:tr>
      <w:tr w:rsidR="00CB0C9C" w:rsidRPr="00533CC4" w:rsidTr="00AE0BAB">
        <w:trPr>
          <w:trHeight w:val="330"/>
        </w:trPr>
        <w:tc>
          <w:tcPr>
            <w:tcW w:w="3070" w:type="dxa"/>
            <w:tcBorders>
              <w:top w:val="nil"/>
              <w:left w:val="single" w:sz="8" w:space="0" w:color="auto"/>
              <w:bottom w:val="single" w:sz="8" w:space="0" w:color="auto"/>
              <w:right w:val="single" w:sz="8" w:space="0" w:color="auto"/>
            </w:tcBorders>
            <w:shd w:val="clear" w:color="auto" w:fill="auto"/>
            <w:noWrap/>
            <w:vAlign w:val="bottom"/>
            <w:hideMark/>
          </w:tcPr>
          <w:p w:rsidR="00CB0C9C" w:rsidRPr="00533CC4" w:rsidRDefault="00CB0C9C" w:rsidP="00AE0BAB">
            <w:pPr>
              <w:rPr>
                <w:rFonts w:ascii="Arial" w:hAnsi="Arial" w:cs="Arial"/>
                <w:sz w:val="22"/>
                <w:szCs w:val="22"/>
              </w:rPr>
            </w:pPr>
            <w:r w:rsidRPr="00533CC4">
              <w:rPr>
                <w:rFonts w:ascii="Arial" w:hAnsi="Arial" w:cs="Arial"/>
                <w:sz w:val="22"/>
                <w:szCs w:val="22"/>
              </w:rPr>
              <w:lastRenderedPageBreak/>
              <w:t>Domestic</w:t>
            </w:r>
          </w:p>
        </w:tc>
        <w:tc>
          <w:tcPr>
            <w:tcW w:w="1620" w:type="dxa"/>
            <w:tcBorders>
              <w:top w:val="nil"/>
              <w:left w:val="nil"/>
              <w:bottom w:val="single" w:sz="8" w:space="0" w:color="auto"/>
              <w:right w:val="single" w:sz="8" w:space="0" w:color="auto"/>
            </w:tcBorders>
            <w:shd w:val="clear" w:color="auto" w:fill="auto"/>
            <w:noWrap/>
            <w:vAlign w:val="bottom"/>
            <w:hideMark/>
          </w:tcPr>
          <w:p w:rsidR="00CB0C9C" w:rsidRPr="00533CC4" w:rsidRDefault="00CB0C9C" w:rsidP="00AE0BAB">
            <w:pPr>
              <w:jc w:val="right"/>
              <w:rPr>
                <w:rFonts w:ascii="Arial" w:hAnsi="Arial" w:cs="Arial"/>
                <w:sz w:val="22"/>
                <w:szCs w:val="22"/>
              </w:rPr>
            </w:pPr>
            <w:r w:rsidRPr="00533CC4">
              <w:rPr>
                <w:rFonts w:ascii="Arial" w:hAnsi="Arial" w:cs="Arial"/>
                <w:sz w:val="22"/>
                <w:szCs w:val="22"/>
              </w:rPr>
              <w:t>1004.45</w:t>
            </w:r>
          </w:p>
        </w:tc>
        <w:tc>
          <w:tcPr>
            <w:tcW w:w="1620" w:type="dxa"/>
            <w:tcBorders>
              <w:top w:val="nil"/>
              <w:left w:val="nil"/>
              <w:bottom w:val="single" w:sz="8" w:space="0" w:color="auto"/>
              <w:right w:val="single" w:sz="8" w:space="0" w:color="auto"/>
            </w:tcBorders>
            <w:shd w:val="clear" w:color="auto" w:fill="auto"/>
            <w:noWrap/>
            <w:vAlign w:val="bottom"/>
            <w:hideMark/>
          </w:tcPr>
          <w:p w:rsidR="00CB0C9C" w:rsidRPr="00533CC4" w:rsidRDefault="00CB0C9C" w:rsidP="00AE0BAB">
            <w:pPr>
              <w:jc w:val="right"/>
              <w:rPr>
                <w:rFonts w:ascii="Arial" w:hAnsi="Arial" w:cs="Arial"/>
                <w:sz w:val="22"/>
                <w:szCs w:val="22"/>
              </w:rPr>
            </w:pPr>
            <w:r w:rsidRPr="00533CC4">
              <w:rPr>
                <w:rFonts w:ascii="Arial" w:hAnsi="Arial" w:cs="Arial"/>
                <w:sz w:val="22"/>
                <w:szCs w:val="22"/>
              </w:rPr>
              <w:t>1300.10</w:t>
            </w:r>
          </w:p>
        </w:tc>
        <w:tc>
          <w:tcPr>
            <w:tcW w:w="1620" w:type="dxa"/>
            <w:tcBorders>
              <w:top w:val="nil"/>
              <w:left w:val="nil"/>
              <w:bottom w:val="single" w:sz="8" w:space="0" w:color="auto"/>
              <w:right w:val="single" w:sz="8" w:space="0" w:color="auto"/>
            </w:tcBorders>
            <w:shd w:val="clear" w:color="auto" w:fill="auto"/>
            <w:noWrap/>
            <w:vAlign w:val="bottom"/>
            <w:hideMark/>
          </w:tcPr>
          <w:p w:rsidR="00CB0C9C" w:rsidRPr="00533CC4" w:rsidRDefault="00CB0C9C" w:rsidP="00AE0BAB">
            <w:pPr>
              <w:jc w:val="right"/>
              <w:rPr>
                <w:rFonts w:ascii="Arial" w:hAnsi="Arial" w:cs="Arial"/>
                <w:sz w:val="22"/>
                <w:szCs w:val="22"/>
              </w:rPr>
            </w:pPr>
            <w:r w:rsidRPr="00533CC4">
              <w:rPr>
                <w:rFonts w:ascii="Arial" w:hAnsi="Arial" w:cs="Arial"/>
                <w:sz w:val="22"/>
                <w:szCs w:val="22"/>
              </w:rPr>
              <w:t>1509.73</w:t>
            </w:r>
          </w:p>
        </w:tc>
      </w:tr>
      <w:tr w:rsidR="00CB0C9C" w:rsidRPr="00533CC4" w:rsidTr="00AE0BAB">
        <w:trPr>
          <w:trHeight w:val="330"/>
        </w:trPr>
        <w:tc>
          <w:tcPr>
            <w:tcW w:w="3070" w:type="dxa"/>
            <w:tcBorders>
              <w:top w:val="nil"/>
              <w:left w:val="single" w:sz="8" w:space="0" w:color="auto"/>
              <w:bottom w:val="single" w:sz="8" w:space="0" w:color="auto"/>
              <w:right w:val="single" w:sz="8" w:space="0" w:color="auto"/>
            </w:tcBorders>
            <w:shd w:val="clear" w:color="auto" w:fill="auto"/>
            <w:noWrap/>
            <w:vAlign w:val="bottom"/>
            <w:hideMark/>
          </w:tcPr>
          <w:p w:rsidR="00CB0C9C" w:rsidRPr="00533CC4" w:rsidRDefault="00CB0C9C" w:rsidP="00AE0BAB">
            <w:pPr>
              <w:rPr>
                <w:rFonts w:ascii="Arial" w:hAnsi="Arial" w:cs="Arial"/>
                <w:sz w:val="22"/>
                <w:szCs w:val="22"/>
              </w:rPr>
            </w:pPr>
            <w:r w:rsidRPr="00533CC4">
              <w:rPr>
                <w:rFonts w:ascii="Arial" w:hAnsi="Arial" w:cs="Arial"/>
                <w:sz w:val="22"/>
                <w:szCs w:val="22"/>
              </w:rPr>
              <w:t>General Purpose&lt;100 kw</w:t>
            </w:r>
          </w:p>
        </w:tc>
        <w:tc>
          <w:tcPr>
            <w:tcW w:w="1620" w:type="dxa"/>
            <w:tcBorders>
              <w:top w:val="nil"/>
              <w:left w:val="nil"/>
              <w:bottom w:val="single" w:sz="8" w:space="0" w:color="auto"/>
              <w:right w:val="single" w:sz="8" w:space="0" w:color="auto"/>
            </w:tcBorders>
            <w:shd w:val="clear" w:color="auto" w:fill="auto"/>
            <w:noWrap/>
            <w:vAlign w:val="bottom"/>
            <w:hideMark/>
          </w:tcPr>
          <w:p w:rsidR="00CB0C9C" w:rsidRPr="00533CC4" w:rsidRDefault="00CB0C9C" w:rsidP="00AE0BAB">
            <w:pPr>
              <w:jc w:val="right"/>
              <w:rPr>
                <w:rFonts w:ascii="Arial" w:hAnsi="Arial" w:cs="Arial"/>
                <w:sz w:val="22"/>
                <w:szCs w:val="22"/>
              </w:rPr>
            </w:pPr>
            <w:r w:rsidRPr="00533CC4">
              <w:rPr>
                <w:rFonts w:ascii="Arial" w:hAnsi="Arial" w:cs="Arial"/>
                <w:sz w:val="22"/>
                <w:szCs w:val="22"/>
              </w:rPr>
              <w:t>206.92</w:t>
            </w:r>
          </w:p>
        </w:tc>
        <w:tc>
          <w:tcPr>
            <w:tcW w:w="1620" w:type="dxa"/>
            <w:tcBorders>
              <w:top w:val="nil"/>
              <w:left w:val="nil"/>
              <w:bottom w:val="single" w:sz="8" w:space="0" w:color="auto"/>
              <w:right w:val="single" w:sz="8" w:space="0" w:color="auto"/>
            </w:tcBorders>
            <w:shd w:val="clear" w:color="auto" w:fill="auto"/>
            <w:noWrap/>
            <w:vAlign w:val="bottom"/>
            <w:hideMark/>
          </w:tcPr>
          <w:p w:rsidR="00CB0C9C" w:rsidRPr="00533CC4" w:rsidRDefault="00CB0C9C" w:rsidP="00AE0BAB">
            <w:pPr>
              <w:jc w:val="right"/>
              <w:rPr>
                <w:rFonts w:ascii="Arial" w:hAnsi="Arial" w:cs="Arial"/>
                <w:sz w:val="22"/>
                <w:szCs w:val="22"/>
              </w:rPr>
            </w:pPr>
            <w:r w:rsidRPr="00533CC4">
              <w:rPr>
                <w:rFonts w:ascii="Arial" w:hAnsi="Arial" w:cs="Arial"/>
                <w:sz w:val="22"/>
                <w:szCs w:val="22"/>
              </w:rPr>
              <w:t>237.99</w:t>
            </w:r>
          </w:p>
        </w:tc>
        <w:tc>
          <w:tcPr>
            <w:tcW w:w="1620" w:type="dxa"/>
            <w:tcBorders>
              <w:top w:val="nil"/>
              <w:left w:val="nil"/>
              <w:bottom w:val="single" w:sz="8" w:space="0" w:color="auto"/>
              <w:right w:val="single" w:sz="8" w:space="0" w:color="auto"/>
            </w:tcBorders>
            <w:shd w:val="clear" w:color="auto" w:fill="auto"/>
            <w:noWrap/>
            <w:vAlign w:val="bottom"/>
            <w:hideMark/>
          </w:tcPr>
          <w:p w:rsidR="00CB0C9C" w:rsidRPr="00533CC4" w:rsidRDefault="00CB0C9C" w:rsidP="00AE0BAB">
            <w:pPr>
              <w:jc w:val="right"/>
              <w:rPr>
                <w:rFonts w:ascii="Arial" w:hAnsi="Arial" w:cs="Arial"/>
                <w:sz w:val="22"/>
                <w:szCs w:val="22"/>
              </w:rPr>
            </w:pPr>
            <w:r w:rsidRPr="00533CC4">
              <w:rPr>
                <w:rFonts w:ascii="Arial" w:hAnsi="Arial" w:cs="Arial"/>
                <w:sz w:val="22"/>
                <w:szCs w:val="22"/>
              </w:rPr>
              <w:t>251.41</w:t>
            </w:r>
          </w:p>
        </w:tc>
      </w:tr>
      <w:tr w:rsidR="00CB0C9C" w:rsidRPr="00533CC4" w:rsidTr="00AE0BAB">
        <w:trPr>
          <w:trHeight w:val="330"/>
        </w:trPr>
        <w:tc>
          <w:tcPr>
            <w:tcW w:w="3070" w:type="dxa"/>
            <w:tcBorders>
              <w:top w:val="nil"/>
              <w:left w:val="single" w:sz="8" w:space="0" w:color="auto"/>
              <w:bottom w:val="single" w:sz="8" w:space="0" w:color="auto"/>
              <w:right w:val="single" w:sz="8" w:space="0" w:color="auto"/>
            </w:tcBorders>
            <w:shd w:val="clear" w:color="auto" w:fill="auto"/>
            <w:noWrap/>
            <w:vAlign w:val="bottom"/>
            <w:hideMark/>
          </w:tcPr>
          <w:p w:rsidR="00CB0C9C" w:rsidRPr="00533CC4" w:rsidRDefault="00CB0C9C" w:rsidP="00AE0BAB">
            <w:pPr>
              <w:rPr>
                <w:rFonts w:ascii="Arial" w:hAnsi="Arial" w:cs="Arial"/>
                <w:sz w:val="22"/>
                <w:szCs w:val="22"/>
              </w:rPr>
            </w:pPr>
            <w:r w:rsidRPr="00533CC4">
              <w:rPr>
                <w:rFonts w:ascii="Arial" w:hAnsi="Arial" w:cs="Arial"/>
                <w:sz w:val="22"/>
                <w:szCs w:val="22"/>
              </w:rPr>
              <w:t>Specified public purpose</w:t>
            </w:r>
          </w:p>
        </w:tc>
        <w:tc>
          <w:tcPr>
            <w:tcW w:w="1620" w:type="dxa"/>
            <w:tcBorders>
              <w:top w:val="nil"/>
              <w:left w:val="nil"/>
              <w:bottom w:val="single" w:sz="8" w:space="0" w:color="auto"/>
              <w:right w:val="single" w:sz="8" w:space="0" w:color="auto"/>
            </w:tcBorders>
            <w:shd w:val="clear" w:color="auto" w:fill="auto"/>
            <w:noWrap/>
            <w:vAlign w:val="bottom"/>
            <w:hideMark/>
          </w:tcPr>
          <w:p w:rsidR="00CB0C9C" w:rsidRPr="00533CC4" w:rsidRDefault="00CB0C9C" w:rsidP="00AE0BAB">
            <w:pPr>
              <w:jc w:val="right"/>
              <w:rPr>
                <w:rFonts w:ascii="Arial" w:hAnsi="Arial" w:cs="Arial"/>
                <w:sz w:val="22"/>
                <w:szCs w:val="22"/>
              </w:rPr>
            </w:pPr>
            <w:r w:rsidRPr="00533CC4">
              <w:rPr>
                <w:rFonts w:ascii="Arial" w:hAnsi="Arial" w:cs="Arial"/>
                <w:sz w:val="22"/>
                <w:szCs w:val="22"/>
              </w:rPr>
              <w:t>14.83</w:t>
            </w:r>
          </w:p>
        </w:tc>
        <w:tc>
          <w:tcPr>
            <w:tcW w:w="1620" w:type="dxa"/>
            <w:tcBorders>
              <w:top w:val="nil"/>
              <w:left w:val="nil"/>
              <w:bottom w:val="single" w:sz="8" w:space="0" w:color="auto"/>
              <w:right w:val="single" w:sz="8" w:space="0" w:color="auto"/>
            </w:tcBorders>
            <w:shd w:val="clear" w:color="auto" w:fill="auto"/>
            <w:noWrap/>
            <w:vAlign w:val="bottom"/>
            <w:hideMark/>
          </w:tcPr>
          <w:p w:rsidR="00CB0C9C" w:rsidRPr="00533CC4" w:rsidRDefault="00CB0C9C" w:rsidP="00AE0BAB">
            <w:pPr>
              <w:jc w:val="right"/>
              <w:rPr>
                <w:rFonts w:ascii="Arial" w:hAnsi="Arial" w:cs="Arial"/>
                <w:sz w:val="22"/>
                <w:szCs w:val="22"/>
              </w:rPr>
            </w:pPr>
            <w:r w:rsidRPr="00533CC4">
              <w:rPr>
                <w:rFonts w:ascii="Arial" w:hAnsi="Arial" w:cs="Arial"/>
                <w:sz w:val="22"/>
                <w:szCs w:val="22"/>
              </w:rPr>
              <w:t>16.48</w:t>
            </w:r>
          </w:p>
        </w:tc>
        <w:tc>
          <w:tcPr>
            <w:tcW w:w="1620" w:type="dxa"/>
            <w:tcBorders>
              <w:top w:val="nil"/>
              <w:left w:val="nil"/>
              <w:bottom w:val="single" w:sz="8" w:space="0" w:color="auto"/>
              <w:right w:val="single" w:sz="8" w:space="0" w:color="auto"/>
            </w:tcBorders>
            <w:shd w:val="clear" w:color="auto" w:fill="auto"/>
            <w:noWrap/>
            <w:vAlign w:val="bottom"/>
            <w:hideMark/>
          </w:tcPr>
          <w:p w:rsidR="00CB0C9C" w:rsidRPr="00533CC4" w:rsidRDefault="00CB0C9C" w:rsidP="00AE0BAB">
            <w:pPr>
              <w:jc w:val="right"/>
              <w:rPr>
                <w:rFonts w:ascii="Arial" w:hAnsi="Arial" w:cs="Arial"/>
                <w:sz w:val="22"/>
                <w:szCs w:val="22"/>
              </w:rPr>
            </w:pPr>
            <w:r w:rsidRPr="00533CC4">
              <w:rPr>
                <w:rFonts w:ascii="Arial" w:hAnsi="Arial" w:cs="Arial"/>
                <w:sz w:val="22"/>
                <w:szCs w:val="22"/>
              </w:rPr>
              <w:t>18.10</w:t>
            </w:r>
          </w:p>
        </w:tc>
      </w:tr>
      <w:tr w:rsidR="00CB0C9C" w:rsidRPr="00533CC4" w:rsidTr="00AE0BAB">
        <w:trPr>
          <w:trHeight w:val="330"/>
        </w:trPr>
        <w:tc>
          <w:tcPr>
            <w:tcW w:w="3070" w:type="dxa"/>
            <w:tcBorders>
              <w:top w:val="nil"/>
              <w:left w:val="single" w:sz="8" w:space="0" w:color="auto"/>
              <w:bottom w:val="single" w:sz="8" w:space="0" w:color="auto"/>
              <w:right w:val="single" w:sz="8" w:space="0" w:color="auto"/>
            </w:tcBorders>
            <w:shd w:val="clear" w:color="auto" w:fill="auto"/>
            <w:noWrap/>
            <w:vAlign w:val="bottom"/>
            <w:hideMark/>
          </w:tcPr>
          <w:p w:rsidR="00CB0C9C" w:rsidRPr="00533CC4" w:rsidRDefault="00CB0C9C" w:rsidP="00AE0BAB">
            <w:pPr>
              <w:rPr>
                <w:rFonts w:ascii="Arial" w:hAnsi="Arial" w:cs="Arial"/>
                <w:sz w:val="22"/>
                <w:szCs w:val="22"/>
              </w:rPr>
            </w:pPr>
            <w:r w:rsidRPr="00533CC4">
              <w:rPr>
                <w:rFonts w:ascii="Arial" w:hAnsi="Arial" w:cs="Arial"/>
                <w:sz w:val="22"/>
                <w:szCs w:val="22"/>
              </w:rPr>
              <w:t>Irrigation</w:t>
            </w:r>
          </w:p>
        </w:tc>
        <w:tc>
          <w:tcPr>
            <w:tcW w:w="1620" w:type="dxa"/>
            <w:tcBorders>
              <w:top w:val="nil"/>
              <w:left w:val="nil"/>
              <w:bottom w:val="single" w:sz="8" w:space="0" w:color="auto"/>
              <w:right w:val="single" w:sz="8" w:space="0" w:color="auto"/>
            </w:tcBorders>
            <w:shd w:val="clear" w:color="auto" w:fill="auto"/>
            <w:noWrap/>
            <w:vAlign w:val="bottom"/>
            <w:hideMark/>
          </w:tcPr>
          <w:p w:rsidR="00CB0C9C" w:rsidRPr="00533CC4" w:rsidRDefault="00CB0C9C" w:rsidP="00AE0BAB">
            <w:pPr>
              <w:jc w:val="right"/>
              <w:rPr>
                <w:rFonts w:ascii="Arial" w:hAnsi="Arial" w:cs="Arial"/>
                <w:sz w:val="22"/>
                <w:szCs w:val="22"/>
              </w:rPr>
            </w:pPr>
            <w:r w:rsidRPr="00533CC4">
              <w:rPr>
                <w:rFonts w:ascii="Arial" w:hAnsi="Arial" w:cs="Arial"/>
                <w:sz w:val="22"/>
                <w:szCs w:val="22"/>
              </w:rPr>
              <w:t>48.56</w:t>
            </w:r>
          </w:p>
        </w:tc>
        <w:tc>
          <w:tcPr>
            <w:tcW w:w="1620" w:type="dxa"/>
            <w:tcBorders>
              <w:top w:val="nil"/>
              <w:left w:val="nil"/>
              <w:bottom w:val="single" w:sz="8" w:space="0" w:color="auto"/>
              <w:right w:val="single" w:sz="8" w:space="0" w:color="auto"/>
            </w:tcBorders>
            <w:shd w:val="clear" w:color="auto" w:fill="auto"/>
            <w:noWrap/>
            <w:vAlign w:val="bottom"/>
            <w:hideMark/>
          </w:tcPr>
          <w:p w:rsidR="00CB0C9C" w:rsidRPr="00533CC4" w:rsidRDefault="00CB0C9C" w:rsidP="00AE0BAB">
            <w:pPr>
              <w:jc w:val="right"/>
              <w:rPr>
                <w:rFonts w:ascii="Arial" w:hAnsi="Arial" w:cs="Arial"/>
                <w:sz w:val="22"/>
                <w:szCs w:val="22"/>
              </w:rPr>
            </w:pPr>
            <w:r w:rsidRPr="00533CC4">
              <w:rPr>
                <w:rFonts w:ascii="Arial" w:hAnsi="Arial" w:cs="Arial"/>
                <w:sz w:val="22"/>
                <w:szCs w:val="22"/>
              </w:rPr>
              <w:t>55.58</w:t>
            </w:r>
          </w:p>
        </w:tc>
        <w:tc>
          <w:tcPr>
            <w:tcW w:w="1620" w:type="dxa"/>
            <w:tcBorders>
              <w:top w:val="nil"/>
              <w:left w:val="nil"/>
              <w:bottom w:val="single" w:sz="8" w:space="0" w:color="auto"/>
              <w:right w:val="single" w:sz="8" w:space="0" w:color="auto"/>
            </w:tcBorders>
            <w:shd w:val="clear" w:color="auto" w:fill="auto"/>
            <w:noWrap/>
            <w:vAlign w:val="bottom"/>
            <w:hideMark/>
          </w:tcPr>
          <w:p w:rsidR="00CB0C9C" w:rsidRPr="00533CC4" w:rsidRDefault="00CB0C9C" w:rsidP="00AE0BAB">
            <w:pPr>
              <w:jc w:val="right"/>
              <w:rPr>
                <w:rFonts w:ascii="Arial" w:hAnsi="Arial" w:cs="Arial"/>
                <w:sz w:val="22"/>
                <w:szCs w:val="22"/>
              </w:rPr>
            </w:pPr>
            <w:r w:rsidRPr="00533CC4">
              <w:rPr>
                <w:rFonts w:ascii="Arial" w:hAnsi="Arial" w:cs="Arial"/>
                <w:sz w:val="22"/>
                <w:szCs w:val="22"/>
              </w:rPr>
              <w:t>71.20</w:t>
            </w:r>
          </w:p>
        </w:tc>
      </w:tr>
      <w:tr w:rsidR="00CB0C9C" w:rsidRPr="00533CC4" w:rsidTr="00AE0BAB">
        <w:trPr>
          <w:trHeight w:val="330"/>
        </w:trPr>
        <w:tc>
          <w:tcPr>
            <w:tcW w:w="3070" w:type="dxa"/>
            <w:tcBorders>
              <w:top w:val="nil"/>
              <w:left w:val="single" w:sz="8" w:space="0" w:color="auto"/>
              <w:bottom w:val="single" w:sz="8" w:space="0" w:color="auto"/>
              <w:right w:val="single" w:sz="8" w:space="0" w:color="auto"/>
            </w:tcBorders>
            <w:shd w:val="clear" w:color="auto" w:fill="auto"/>
            <w:noWrap/>
            <w:vAlign w:val="bottom"/>
            <w:hideMark/>
          </w:tcPr>
          <w:p w:rsidR="00CB0C9C" w:rsidRPr="00533CC4" w:rsidRDefault="00CB0C9C" w:rsidP="00AE0BAB">
            <w:pPr>
              <w:rPr>
                <w:rFonts w:ascii="Arial" w:hAnsi="Arial" w:cs="Arial"/>
                <w:sz w:val="22"/>
                <w:szCs w:val="22"/>
              </w:rPr>
            </w:pPr>
            <w:r w:rsidRPr="00533CC4">
              <w:rPr>
                <w:rFonts w:ascii="Arial" w:hAnsi="Arial" w:cs="Arial"/>
                <w:sz w:val="22"/>
                <w:szCs w:val="22"/>
              </w:rPr>
              <w:t>Allied Agro Activities</w:t>
            </w:r>
          </w:p>
        </w:tc>
        <w:tc>
          <w:tcPr>
            <w:tcW w:w="1620" w:type="dxa"/>
            <w:tcBorders>
              <w:top w:val="nil"/>
              <w:left w:val="nil"/>
              <w:bottom w:val="single" w:sz="8" w:space="0" w:color="auto"/>
              <w:right w:val="single" w:sz="8" w:space="0" w:color="auto"/>
            </w:tcBorders>
            <w:shd w:val="clear" w:color="auto" w:fill="auto"/>
            <w:noWrap/>
            <w:vAlign w:val="bottom"/>
            <w:hideMark/>
          </w:tcPr>
          <w:p w:rsidR="00CB0C9C" w:rsidRPr="00533CC4" w:rsidRDefault="00CB0C9C" w:rsidP="00AE0BAB">
            <w:pPr>
              <w:jc w:val="right"/>
              <w:rPr>
                <w:rFonts w:ascii="Arial" w:hAnsi="Arial" w:cs="Arial"/>
                <w:sz w:val="22"/>
                <w:szCs w:val="22"/>
              </w:rPr>
            </w:pPr>
            <w:r w:rsidRPr="00533CC4">
              <w:rPr>
                <w:rFonts w:ascii="Arial" w:hAnsi="Arial" w:cs="Arial"/>
                <w:sz w:val="22"/>
                <w:szCs w:val="22"/>
              </w:rPr>
              <w:t>2.33</w:t>
            </w:r>
          </w:p>
        </w:tc>
        <w:tc>
          <w:tcPr>
            <w:tcW w:w="1620" w:type="dxa"/>
            <w:tcBorders>
              <w:top w:val="nil"/>
              <w:left w:val="nil"/>
              <w:bottom w:val="single" w:sz="8" w:space="0" w:color="auto"/>
              <w:right w:val="single" w:sz="8" w:space="0" w:color="auto"/>
            </w:tcBorders>
            <w:shd w:val="clear" w:color="auto" w:fill="auto"/>
            <w:noWrap/>
            <w:vAlign w:val="bottom"/>
            <w:hideMark/>
          </w:tcPr>
          <w:p w:rsidR="00CB0C9C" w:rsidRPr="00533CC4" w:rsidRDefault="00CB0C9C" w:rsidP="00AE0BAB">
            <w:pPr>
              <w:jc w:val="right"/>
              <w:rPr>
                <w:rFonts w:ascii="Arial" w:hAnsi="Arial" w:cs="Arial"/>
                <w:sz w:val="22"/>
                <w:szCs w:val="22"/>
              </w:rPr>
            </w:pPr>
            <w:r w:rsidRPr="00533CC4">
              <w:rPr>
                <w:rFonts w:ascii="Arial" w:hAnsi="Arial" w:cs="Arial"/>
                <w:sz w:val="22"/>
                <w:szCs w:val="22"/>
              </w:rPr>
              <w:t>6.48</w:t>
            </w:r>
          </w:p>
        </w:tc>
        <w:tc>
          <w:tcPr>
            <w:tcW w:w="1620" w:type="dxa"/>
            <w:tcBorders>
              <w:top w:val="nil"/>
              <w:left w:val="nil"/>
              <w:bottom w:val="single" w:sz="8" w:space="0" w:color="auto"/>
              <w:right w:val="single" w:sz="8" w:space="0" w:color="auto"/>
            </w:tcBorders>
            <w:shd w:val="clear" w:color="auto" w:fill="auto"/>
            <w:noWrap/>
            <w:vAlign w:val="bottom"/>
            <w:hideMark/>
          </w:tcPr>
          <w:p w:rsidR="00CB0C9C" w:rsidRPr="00533CC4" w:rsidRDefault="00CB0C9C" w:rsidP="00AE0BAB">
            <w:pPr>
              <w:jc w:val="right"/>
              <w:rPr>
                <w:rFonts w:ascii="Arial" w:hAnsi="Arial" w:cs="Arial"/>
                <w:sz w:val="22"/>
                <w:szCs w:val="22"/>
              </w:rPr>
            </w:pPr>
            <w:r w:rsidRPr="00533CC4">
              <w:rPr>
                <w:rFonts w:ascii="Arial" w:hAnsi="Arial" w:cs="Arial"/>
                <w:sz w:val="22"/>
                <w:szCs w:val="22"/>
              </w:rPr>
              <w:t>12.67</w:t>
            </w:r>
          </w:p>
        </w:tc>
      </w:tr>
      <w:tr w:rsidR="00CB0C9C" w:rsidRPr="00533CC4" w:rsidTr="00AE0BAB">
        <w:trPr>
          <w:trHeight w:val="330"/>
        </w:trPr>
        <w:tc>
          <w:tcPr>
            <w:tcW w:w="3070" w:type="dxa"/>
            <w:tcBorders>
              <w:top w:val="nil"/>
              <w:left w:val="single" w:sz="8" w:space="0" w:color="auto"/>
              <w:bottom w:val="single" w:sz="8" w:space="0" w:color="auto"/>
              <w:right w:val="single" w:sz="8" w:space="0" w:color="auto"/>
            </w:tcBorders>
            <w:shd w:val="clear" w:color="auto" w:fill="auto"/>
            <w:noWrap/>
            <w:vAlign w:val="bottom"/>
            <w:hideMark/>
          </w:tcPr>
          <w:p w:rsidR="00CB0C9C" w:rsidRPr="00533CC4" w:rsidRDefault="00CB0C9C" w:rsidP="00AE0BAB">
            <w:pPr>
              <w:rPr>
                <w:rFonts w:ascii="Arial" w:hAnsi="Arial" w:cs="Arial"/>
                <w:sz w:val="22"/>
                <w:szCs w:val="22"/>
              </w:rPr>
            </w:pPr>
            <w:r w:rsidRPr="00533CC4">
              <w:rPr>
                <w:rFonts w:ascii="Arial" w:hAnsi="Arial" w:cs="Arial"/>
                <w:sz w:val="22"/>
                <w:szCs w:val="22"/>
              </w:rPr>
              <w:t>Allied Agro Industrial</w:t>
            </w:r>
          </w:p>
        </w:tc>
        <w:tc>
          <w:tcPr>
            <w:tcW w:w="1620" w:type="dxa"/>
            <w:tcBorders>
              <w:top w:val="nil"/>
              <w:left w:val="nil"/>
              <w:bottom w:val="single" w:sz="8" w:space="0" w:color="auto"/>
              <w:right w:val="single" w:sz="8" w:space="0" w:color="auto"/>
            </w:tcBorders>
            <w:shd w:val="clear" w:color="auto" w:fill="auto"/>
            <w:noWrap/>
            <w:vAlign w:val="bottom"/>
            <w:hideMark/>
          </w:tcPr>
          <w:p w:rsidR="00CB0C9C" w:rsidRPr="00533CC4" w:rsidRDefault="00CB0C9C" w:rsidP="00AE0BAB">
            <w:pPr>
              <w:jc w:val="right"/>
              <w:rPr>
                <w:rFonts w:ascii="Arial" w:hAnsi="Arial" w:cs="Arial"/>
                <w:sz w:val="22"/>
                <w:szCs w:val="22"/>
              </w:rPr>
            </w:pPr>
            <w:r w:rsidRPr="00533CC4">
              <w:rPr>
                <w:rFonts w:ascii="Arial" w:hAnsi="Arial" w:cs="Arial"/>
                <w:sz w:val="22"/>
                <w:szCs w:val="22"/>
              </w:rPr>
              <w:t>0.87</w:t>
            </w:r>
          </w:p>
        </w:tc>
        <w:tc>
          <w:tcPr>
            <w:tcW w:w="1620" w:type="dxa"/>
            <w:tcBorders>
              <w:top w:val="nil"/>
              <w:left w:val="nil"/>
              <w:bottom w:val="single" w:sz="8" w:space="0" w:color="auto"/>
              <w:right w:val="single" w:sz="8" w:space="0" w:color="auto"/>
            </w:tcBorders>
            <w:shd w:val="clear" w:color="auto" w:fill="auto"/>
            <w:noWrap/>
            <w:vAlign w:val="bottom"/>
            <w:hideMark/>
          </w:tcPr>
          <w:p w:rsidR="00CB0C9C" w:rsidRPr="00533CC4" w:rsidRDefault="00CB0C9C" w:rsidP="00AE0BAB">
            <w:pPr>
              <w:jc w:val="right"/>
              <w:rPr>
                <w:rFonts w:ascii="Arial" w:hAnsi="Arial" w:cs="Arial"/>
                <w:sz w:val="22"/>
                <w:szCs w:val="22"/>
              </w:rPr>
            </w:pPr>
            <w:r w:rsidRPr="00533CC4">
              <w:rPr>
                <w:rFonts w:ascii="Arial" w:hAnsi="Arial" w:cs="Arial"/>
                <w:sz w:val="22"/>
                <w:szCs w:val="22"/>
              </w:rPr>
              <w:t>1.01</w:t>
            </w:r>
          </w:p>
        </w:tc>
        <w:tc>
          <w:tcPr>
            <w:tcW w:w="1620" w:type="dxa"/>
            <w:tcBorders>
              <w:top w:val="nil"/>
              <w:left w:val="nil"/>
              <w:bottom w:val="single" w:sz="8" w:space="0" w:color="auto"/>
              <w:right w:val="single" w:sz="8" w:space="0" w:color="auto"/>
            </w:tcBorders>
            <w:shd w:val="clear" w:color="auto" w:fill="auto"/>
            <w:noWrap/>
            <w:vAlign w:val="bottom"/>
            <w:hideMark/>
          </w:tcPr>
          <w:p w:rsidR="00CB0C9C" w:rsidRPr="00533CC4" w:rsidRDefault="00CB0C9C" w:rsidP="00AE0BAB">
            <w:pPr>
              <w:jc w:val="right"/>
              <w:rPr>
                <w:rFonts w:ascii="Arial" w:hAnsi="Arial" w:cs="Arial"/>
                <w:sz w:val="22"/>
                <w:szCs w:val="22"/>
              </w:rPr>
            </w:pPr>
            <w:r w:rsidRPr="00533CC4">
              <w:rPr>
                <w:rFonts w:ascii="Arial" w:hAnsi="Arial" w:cs="Arial"/>
                <w:sz w:val="22"/>
                <w:szCs w:val="22"/>
              </w:rPr>
              <w:t>1.13</w:t>
            </w:r>
          </w:p>
        </w:tc>
      </w:tr>
      <w:tr w:rsidR="00CB0C9C" w:rsidRPr="00533CC4" w:rsidTr="00AE0BAB">
        <w:trPr>
          <w:trHeight w:val="330"/>
        </w:trPr>
        <w:tc>
          <w:tcPr>
            <w:tcW w:w="3070" w:type="dxa"/>
            <w:tcBorders>
              <w:top w:val="nil"/>
              <w:left w:val="single" w:sz="8" w:space="0" w:color="auto"/>
              <w:bottom w:val="single" w:sz="8" w:space="0" w:color="auto"/>
              <w:right w:val="single" w:sz="8" w:space="0" w:color="auto"/>
            </w:tcBorders>
            <w:shd w:val="clear" w:color="auto" w:fill="auto"/>
            <w:noWrap/>
            <w:vAlign w:val="bottom"/>
            <w:hideMark/>
          </w:tcPr>
          <w:p w:rsidR="00CB0C9C" w:rsidRPr="00533CC4" w:rsidRDefault="00CB0C9C" w:rsidP="00AE0BAB">
            <w:pPr>
              <w:rPr>
                <w:rFonts w:ascii="Arial" w:hAnsi="Arial" w:cs="Arial"/>
                <w:sz w:val="22"/>
                <w:szCs w:val="22"/>
              </w:rPr>
            </w:pPr>
            <w:r w:rsidRPr="00533CC4">
              <w:rPr>
                <w:rFonts w:ascii="Arial" w:hAnsi="Arial" w:cs="Arial"/>
                <w:sz w:val="22"/>
                <w:szCs w:val="22"/>
              </w:rPr>
              <w:t>LT Industrial</w:t>
            </w:r>
          </w:p>
        </w:tc>
        <w:tc>
          <w:tcPr>
            <w:tcW w:w="1620" w:type="dxa"/>
            <w:tcBorders>
              <w:top w:val="nil"/>
              <w:left w:val="nil"/>
              <w:bottom w:val="single" w:sz="8" w:space="0" w:color="auto"/>
              <w:right w:val="single" w:sz="8" w:space="0" w:color="auto"/>
            </w:tcBorders>
            <w:shd w:val="clear" w:color="auto" w:fill="auto"/>
            <w:noWrap/>
            <w:vAlign w:val="bottom"/>
            <w:hideMark/>
          </w:tcPr>
          <w:p w:rsidR="00CB0C9C" w:rsidRPr="00533CC4" w:rsidRDefault="00CB0C9C" w:rsidP="00AE0BAB">
            <w:pPr>
              <w:jc w:val="right"/>
              <w:rPr>
                <w:rFonts w:ascii="Arial" w:hAnsi="Arial" w:cs="Arial"/>
                <w:sz w:val="22"/>
                <w:szCs w:val="22"/>
              </w:rPr>
            </w:pPr>
            <w:r w:rsidRPr="00533CC4">
              <w:rPr>
                <w:rFonts w:ascii="Arial" w:hAnsi="Arial" w:cs="Arial"/>
                <w:sz w:val="22"/>
                <w:szCs w:val="22"/>
              </w:rPr>
              <w:t>54.90</w:t>
            </w:r>
          </w:p>
        </w:tc>
        <w:tc>
          <w:tcPr>
            <w:tcW w:w="1620" w:type="dxa"/>
            <w:tcBorders>
              <w:top w:val="nil"/>
              <w:left w:val="nil"/>
              <w:bottom w:val="single" w:sz="8" w:space="0" w:color="auto"/>
              <w:right w:val="single" w:sz="8" w:space="0" w:color="auto"/>
            </w:tcBorders>
            <w:shd w:val="clear" w:color="auto" w:fill="auto"/>
            <w:noWrap/>
            <w:vAlign w:val="bottom"/>
            <w:hideMark/>
          </w:tcPr>
          <w:p w:rsidR="00CB0C9C" w:rsidRPr="00533CC4" w:rsidRDefault="00CB0C9C" w:rsidP="00AE0BAB">
            <w:pPr>
              <w:jc w:val="right"/>
              <w:rPr>
                <w:rFonts w:ascii="Arial" w:hAnsi="Arial" w:cs="Arial"/>
                <w:sz w:val="22"/>
                <w:szCs w:val="22"/>
              </w:rPr>
            </w:pPr>
            <w:r w:rsidRPr="00533CC4">
              <w:rPr>
                <w:rFonts w:ascii="Arial" w:hAnsi="Arial" w:cs="Arial"/>
                <w:sz w:val="22"/>
                <w:szCs w:val="22"/>
              </w:rPr>
              <w:t>56.63</w:t>
            </w:r>
          </w:p>
        </w:tc>
        <w:tc>
          <w:tcPr>
            <w:tcW w:w="1620" w:type="dxa"/>
            <w:tcBorders>
              <w:top w:val="nil"/>
              <w:left w:val="nil"/>
              <w:bottom w:val="single" w:sz="8" w:space="0" w:color="auto"/>
              <w:right w:val="single" w:sz="8" w:space="0" w:color="auto"/>
            </w:tcBorders>
            <w:shd w:val="clear" w:color="auto" w:fill="auto"/>
            <w:noWrap/>
            <w:vAlign w:val="bottom"/>
            <w:hideMark/>
          </w:tcPr>
          <w:p w:rsidR="00CB0C9C" w:rsidRPr="00533CC4" w:rsidRDefault="00CB0C9C" w:rsidP="00AE0BAB">
            <w:pPr>
              <w:jc w:val="right"/>
              <w:rPr>
                <w:rFonts w:ascii="Arial" w:hAnsi="Arial" w:cs="Arial"/>
                <w:sz w:val="22"/>
                <w:szCs w:val="22"/>
              </w:rPr>
            </w:pPr>
            <w:r w:rsidRPr="00533CC4">
              <w:rPr>
                <w:rFonts w:ascii="Arial" w:hAnsi="Arial" w:cs="Arial"/>
                <w:sz w:val="22"/>
                <w:szCs w:val="22"/>
              </w:rPr>
              <w:t>59.47</w:t>
            </w:r>
          </w:p>
        </w:tc>
      </w:tr>
      <w:tr w:rsidR="00CB0C9C" w:rsidRPr="00533CC4" w:rsidTr="00AE0BAB">
        <w:trPr>
          <w:trHeight w:val="330"/>
        </w:trPr>
        <w:tc>
          <w:tcPr>
            <w:tcW w:w="3070" w:type="dxa"/>
            <w:tcBorders>
              <w:top w:val="nil"/>
              <w:left w:val="single" w:sz="8" w:space="0" w:color="auto"/>
              <w:bottom w:val="single" w:sz="8" w:space="0" w:color="auto"/>
              <w:right w:val="single" w:sz="8" w:space="0" w:color="auto"/>
            </w:tcBorders>
            <w:shd w:val="clear" w:color="auto" w:fill="auto"/>
            <w:noWrap/>
            <w:vAlign w:val="bottom"/>
            <w:hideMark/>
          </w:tcPr>
          <w:p w:rsidR="00CB0C9C" w:rsidRPr="00533CC4" w:rsidRDefault="00CB0C9C" w:rsidP="00AE0BAB">
            <w:pPr>
              <w:rPr>
                <w:rFonts w:ascii="Arial" w:hAnsi="Arial" w:cs="Arial"/>
                <w:sz w:val="22"/>
                <w:szCs w:val="22"/>
              </w:rPr>
            </w:pPr>
            <w:r w:rsidRPr="00533CC4">
              <w:rPr>
                <w:rFonts w:ascii="Arial" w:hAnsi="Arial" w:cs="Arial"/>
                <w:sz w:val="22"/>
                <w:szCs w:val="22"/>
              </w:rPr>
              <w:t>Public water works</w:t>
            </w:r>
          </w:p>
        </w:tc>
        <w:tc>
          <w:tcPr>
            <w:tcW w:w="1620" w:type="dxa"/>
            <w:tcBorders>
              <w:top w:val="nil"/>
              <w:left w:val="nil"/>
              <w:bottom w:val="single" w:sz="8" w:space="0" w:color="auto"/>
              <w:right w:val="single" w:sz="8" w:space="0" w:color="auto"/>
            </w:tcBorders>
            <w:shd w:val="clear" w:color="auto" w:fill="auto"/>
            <w:noWrap/>
            <w:vAlign w:val="bottom"/>
            <w:hideMark/>
          </w:tcPr>
          <w:p w:rsidR="00CB0C9C" w:rsidRPr="00533CC4" w:rsidRDefault="00CB0C9C" w:rsidP="00AE0BAB">
            <w:pPr>
              <w:jc w:val="right"/>
              <w:rPr>
                <w:rFonts w:ascii="Arial" w:hAnsi="Arial" w:cs="Arial"/>
                <w:sz w:val="22"/>
                <w:szCs w:val="22"/>
              </w:rPr>
            </w:pPr>
            <w:r w:rsidRPr="00533CC4">
              <w:rPr>
                <w:rFonts w:ascii="Arial" w:hAnsi="Arial" w:cs="Arial"/>
                <w:sz w:val="22"/>
                <w:szCs w:val="22"/>
              </w:rPr>
              <w:t>23.32</w:t>
            </w:r>
          </w:p>
        </w:tc>
        <w:tc>
          <w:tcPr>
            <w:tcW w:w="1620" w:type="dxa"/>
            <w:tcBorders>
              <w:top w:val="nil"/>
              <w:left w:val="nil"/>
              <w:bottom w:val="single" w:sz="8" w:space="0" w:color="auto"/>
              <w:right w:val="single" w:sz="8" w:space="0" w:color="auto"/>
            </w:tcBorders>
            <w:shd w:val="clear" w:color="auto" w:fill="auto"/>
            <w:noWrap/>
            <w:vAlign w:val="bottom"/>
            <w:hideMark/>
          </w:tcPr>
          <w:p w:rsidR="00CB0C9C" w:rsidRPr="00533CC4" w:rsidRDefault="00CB0C9C" w:rsidP="00AE0BAB">
            <w:pPr>
              <w:jc w:val="right"/>
              <w:rPr>
                <w:rFonts w:ascii="Arial" w:hAnsi="Arial" w:cs="Arial"/>
                <w:sz w:val="22"/>
                <w:szCs w:val="22"/>
              </w:rPr>
            </w:pPr>
            <w:r w:rsidRPr="00533CC4">
              <w:rPr>
                <w:rFonts w:ascii="Arial" w:hAnsi="Arial" w:cs="Arial"/>
                <w:sz w:val="22"/>
                <w:szCs w:val="22"/>
              </w:rPr>
              <w:t>25.66</w:t>
            </w:r>
          </w:p>
        </w:tc>
        <w:tc>
          <w:tcPr>
            <w:tcW w:w="1620" w:type="dxa"/>
            <w:tcBorders>
              <w:top w:val="nil"/>
              <w:left w:val="nil"/>
              <w:bottom w:val="single" w:sz="8" w:space="0" w:color="auto"/>
              <w:right w:val="single" w:sz="8" w:space="0" w:color="auto"/>
            </w:tcBorders>
            <w:shd w:val="clear" w:color="auto" w:fill="auto"/>
            <w:noWrap/>
            <w:vAlign w:val="bottom"/>
            <w:hideMark/>
          </w:tcPr>
          <w:p w:rsidR="00CB0C9C" w:rsidRPr="00533CC4" w:rsidRDefault="00CB0C9C" w:rsidP="00AE0BAB">
            <w:pPr>
              <w:jc w:val="right"/>
              <w:rPr>
                <w:rFonts w:ascii="Arial" w:hAnsi="Arial" w:cs="Arial"/>
                <w:sz w:val="22"/>
                <w:szCs w:val="22"/>
              </w:rPr>
            </w:pPr>
            <w:r w:rsidRPr="00533CC4">
              <w:rPr>
                <w:rFonts w:ascii="Arial" w:hAnsi="Arial" w:cs="Arial"/>
                <w:sz w:val="22"/>
                <w:szCs w:val="22"/>
              </w:rPr>
              <w:t>27.81</w:t>
            </w:r>
          </w:p>
        </w:tc>
      </w:tr>
      <w:tr w:rsidR="00CB0C9C" w:rsidRPr="00533CC4" w:rsidTr="00AE0BAB">
        <w:trPr>
          <w:trHeight w:val="330"/>
        </w:trPr>
        <w:tc>
          <w:tcPr>
            <w:tcW w:w="3070" w:type="dxa"/>
            <w:tcBorders>
              <w:top w:val="nil"/>
              <w:left w:val="single" w:sz="8" w:space="0" w:color="auto"/>
              <w:bottom w:val="nil"/>
              <w:right w:val="single" w:sz="8" w:space="0" w:color="auto"/>
            </w:tcBorders>
            <w:shd w:val="clear" w:color="auto" w:fill="auto"/>
            <w:noWrap/>
            <w:vAlign w:val="bottom"/>
            <w:hideMark/>
          </w:tcPr>
          <w:p w:rsidR="00CB0C9C" w:rsidRPr="00533CC4" w:rsidRDefault="00CB0C9C" w:rsidP="00AE0BAB">
            <w:pPr>
              <w:rPr>
                <w:rFonts w:ascii="Arial" w:hAnsi="Arial" w:cs="Arial"/>
                <w:sz w:val="22"/>
                <w:szCs w:val="22"/>
              </w:rPr>
            </w:pPr>
            <w:r w:rsidRPr="00533CC4">
              <w:rPr>
                <w:rFonts w:ascii="Arial" w:hAnsi="Arial" w:cs="Arial"/>
                <w:sz w:val="22"/>
                <w:szCs w:val="22"/>
              </w:rPr>
              <w:t>Public Lighting</w:t>
            </w:r>
          </w:p>
        </w:tc>
        <w:tc>
          <w:tcPr>
            <w:tcW w:w="1620" w:type="dxa"/>
            <w:tcBorders>
              <w:top w:val="nil"/>
              <w:left w:val="nil"/>
              <w:bottom w:val="nil"/>
              <w:right w:val="single" w:sz="8" w:space="0" w:color="auto"/>
            </w:tcBorders>
            <w:shd w:val="clear" w:color="auto" w:fill="auto"/>
            <w:noWrap/>
            <w:vAlign w:val="bottom"/>
            <w:hideMark/>
          </w:tcPr>
          <w:p w:rsidR="00CB0C9C" w:rsidRPr="00533CC4" w:rsidRDefault="00CB0C9C" w:rsidP="00AE0BAB">
            <w:pPr>
              <w:jc w:val="right"/>
              <w:rPr>
                <w:rFonts w:ascii="Arial" w:hAnsi="Arial" w:cs="Arial"/>
                <w:sz w:val="22"/>
                <w:szCs w:val="22"/>
              </w:rPr>
            </w:pPr>
            <w:r w:rsidRPr="00533CC4">
              <w:rPr>
                <w:rFonts w:ascii="Arial" w:hAnsi="Arial" w:cs="Arial"/>
                <w:sz w:val="22"/>
                <w:szCs w:val="22"/>
              </w:rPr>
              <w:t>8.64</w:t>
            </w:r>
          </w:p>
        </w:tc>
        <w:tc>
          <w:tcPr>
            <w:tcW w:w="1620" w:type="dxa"/>
            <w:tcBorders>
              <w:top w:val="nil"/>
              <w:left w:val="nil"/>
              <w:bottom w:val="nil"/>
              <w:right w:val="single" w:sz="8" w:space="0" w:color="auto"/>
            </w:tcBorders>
            <w:shd w:val="clear" w:color="auto" w:fill="auto"/>
            <w:noWrap/>
            <w:vAlign w:val="bottom"/>
            <w:hideMark/>
          </w:tcPr>
          <w:p w:rsidR="00CB0C9C" w:rsidRPr="00533CC4" w:rsidRDefault="00CB0C9C" w:rsidP="00AE0BAB">
            <w:pPr>
              <w:jc w:val="right"/>
              <w:rPr>
                <w:rFonts w:ascii="Arial" w:hAnsi="Arial" w:cs="Arial"/>
                <w:sz w:val="22"/>
                <w:szCs w:val="22"/>
              </w:rPr>
            </w:pPr>
            <w:r w:rsidRPr="00533CC4">
              <w:rPr>
                <w:rFonts w:ascii="Arial" w:hAnsi="Arial" w:cs="Arial"/>
                <w:sz w:val="22"/>
                <w:szCs w:val="22"/>
              </w:rPr>
              <w:t>8.82</w:t>
            </w:r>
          </w:p>
        </w:tc>
        <w:tc>
          <w:tcPr>
            <w:tcW w:w="1620" w:type="dxa"/>
            <w:tcBorders>
              <w:top w:val="nil"/>
              <w:left w:val="nil"/>
              <w:bottom w:val="nil"/>
              <w:right w:val="single" w:sz="8" w:space="0" w:color="auto"/>
            </w:tcBorders>
            <w:shd w:val="clear" w:color="auto" w:fill="auto"/>
            <w:noWrap/>
            <w:vAlign w:val="bottom"/>
            <w:hideMark/>
          </w:tcPr>
          <w:p w:rsidR="00CB0C9C" w:rsidRPr="00533CC4" w:rsidRDefault="00CB0C9C" w:rsidP="00AE0BAB">
            <w:pPr>
              <w:jc w:val="right"/>
              <w:rPr>
                <w:rFonts w:ascii="Arial" w:hAnsi="Arial" w:cs="Arial"/>
                <w:sz w:val="22"/>
                <w:szCs w:val="22"/>
              </w:rPr>
            </w:pPr>
            <w:r w:rsidRPr="00533CC4">
              <w:rPr>
                <w:rFonts w:ascii="Arial" w:hAnsi="Arial" w:cs="Arial"/>
                <w:sz w:val="22"/>
                <w:szCs w:val="22"/>
              </w:rPr>
              <w:t>9.09</w:t>
            </w:r>
          </w:p>
        </w:tc>
      </w:tr>
      <w:tr w:rsidR="00CB0C9C" w:rsidRPr="00533CC4" w:rsidTr="00AE0BAB">
        <w:trPr>
          <w:trHeight w:val="330"/>
        </w:trPr>
        <w:tc>
          <w:tcPr>
            <w:tcW w:w="307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CB0C9C" w:rsidRPr="00533CC4" w:rsidRDefault="00CB0C9C" w:rsidP="00AE0BAB">
            <w:pPr>
              <w:jc w:val="center"/>
              <w:rPr>
                <w:rFonts w:ascii="Arial" w:hAnsi="Arial" w:cs="Arial"/>
                <w:b/>
                <w:bCs/>
                <w:sz w:val="22"/>
                <w:szCs w:val="22"/>
              </w:rPr>
            </w:pPr>
            <w:r w:rsidRPr="00533CC4">
              <w:rPr>
                <w:rFonts w:ascii="Arial" w:hAnsi="Arial" w:cs="Arial"/>
                <w:b/>
                <w:bCs/>
                <w:sz w:val="22"/>
                <w:szCs w:val="22"/>
              </w:rPr>
              <w:t>Total</w:t>
            </w:r>
          </w:p>
        </w:tc>
        <w:tc>
          <w:tcPr>
            <w:tcW w:w="1620" w:type="dxa"/>
            <w:tcBorders>
              <w:top w:val="single" w:sz="8" w:space="0" w:color="auto"/>
              <w:left w:val="nil"/>
              <w:bottom w:val="single" w:sz="8" w:space="0" w:color="auto"/>
              <w:right w:val="single" w:sz="8" w:space="0" w:color="auto"/>
            </w:tcBorders>
            <w:shd w:val="clear" w:color="auto" w:fill="auto"/>
            <w:noWrap/>
            <w:vAlign w:val="bottom"/>
            <w:hideMark/>
          </w:tcPr>
          <w:p w:rsidR="00CB0C9C" w:rsidRPr="00533CC4" w:rsidRDefault="00CB0C9C" w:rsidP="00AE0BAB">
            <w:pPr>
              <w:jc w:val="right"/>
              <w:rPr>
                <w:rFonts w:ascii="Arial" w:hAnsi="Arial" w:cs="Arial"/>
                <w:b/>
                <w:bCs/>
                <w:sz w:val="22"/>
                <w:szCs w:val="22"/>
              </w:rPr>
            </w:pPr>
            <w:r w:rsidRPr="00533CC4">
              <w:rPr>
                <w:rFonts w:ascii="Arial" w:hAnsi="Arial" w:cs="Arial"/>
                <w:b/>
                <w:bCs/>
                <w:sz w:val="22"/>
                <w:szCs w:val="22"/>
              </w:rPr>
              <w:t>1364.83</w:t>
            </w:r>
          </w:p>
        </w:tc>
        <w:tc>
          <w:tcPr>
            <w:tcW w:w="1620" w:type="dxa"/>
            <w:tcBorders>
              <w:top w:val="single" w:sz="8" w:space="0" w:color="auto"/>
              <w:left w:val="nil"/>
              <w:bottom w:val="single" w:sz="8" w:space="0" w:color="auto"/>
              <w:right w:val="single" w:sz="8" w:space="0" w:color="auto"/>
            </w:tcBorders>
            <w:shd w:val="clear" w:color="auto" w:fill="auto"/>
            <w:noWrap/>
            <w:vAlign w:val="bottom"/>
            <w:hideMark/>
          </w:tcPr>
          <w:p w:rsidR="00CB0C9C" w:rsidRPr="00533CC4" w:rsidRDefault="00CB0C9C" w:rsidP="00AE0BAB">
            <w:pPr>
              <w:jc w:val="right"/>
              <w:rPr>
                <w:rFonts w:ascii="Arial" w:hAnsi="Arial" w:cs="Arial"/>
                <w:b/>
                <w:bCs/>
                <w:sz w:val="22"/>
                <w:szCs w:val="22"/>
              </w:rPr>
            </w:pPr>
            <w:r w:rsidRPr="00533CC4">
              <w:rPr>
                <w:rFonts w:ascii="Arial" w:hAnsi="Arial" w:cs="Arial"/>
                <w:b/>
                <w:bCs/>
                <w:sz w:val="22"/>
                <w:szCs w:val="22"/>
              </w:rPr>
              <w:t>1708.75</w:t>
            </w:r>
          </w:p>
        </w:tc>
        <w:tc>
          <w:tcPr>
            <w:tcW w:w="1620" w:type="dxa"/>
            <w:tcBorders>
              <w:top w:val="single" w:sz="8" w:space="0" w:color="auto"/>
              <w:left w:val="nil"/>
              <w:bottom w:val="single" w:sz="8" w:space="0" w:color="auto"/>
              <w:right w:val="single" w:sz="8" w:space="0" w:color="auto"/>
            </w:tcBorders>
            <w:shd w:val="clear" w:color="auto" w:fill="auto"/>
            <w:noWrap/>
            <w:vAlign w:val="bottom"/>
            <w:hideMark/>
          </w:tcPr>
          <w:p w:rsidR="00CB0C9C" w:rsidRPr="00533CC4" w:rsidRDefault="00CB0C9C" w:rsidP="00AE0BAB">
            <w:pPr>
              <w:jc w:val="right"/>
              <w:rPr>
                <w:rFonts w:ascii="Arial" w:hAnsi="Arial" w:cs="Arial"/>
                <w:b/>
                <w:bCs/>
                <w:sz w:val="22"/>
                <w:szCs w:val="22"/>
              </w:rPr>
            </w:pPr>
            <w:r w:rsidRPr="00533CC4">
              <w:rPr>
                <w:rFonts w:ascii="Arial" w:hAnsi="Arial" w:cs="Arial"/>
                <w:b/>
                <w:bCs/>
                <w:sz w:val="22"/>
                <w:szCs w:val="22"/>
              </w:rPr>
              <w:t>1960.61</w:t>
            </w:r>
          </w:p>
        </w:tc>
      </w:tr>
    </w:tbl>
    <w:p w:rsidR="00CB0C9C" w:rsidRDefault="00CB0C9C" w:rsidP="004276A0">
      <w:pPr>
        <w:pStyle w:val="BodyText2"/>
        <w:spacing w:before="0" w:after="0" w:line="360" w:lineRule="auto"/>
        <w:jc w:val="both"/>
        <w:rPr>
          <w:rFonts w:ascii="Cambria" w:hAnsi="Cambria"/>
          <w:b/>
          <w:sz w:val="24"/>
          <w:szCs w:val="24"/>
        </w:rPr>
      </w:pPr>
    </w:p>
    <w:p w:rsidR="004276A0" w:rsidRPr="00533CC4" w:rsidRDefault="004276A0" w:rsidP="004276A0">
      <w:pPr>
        <w:pStyle w:val="BodyText2"/>
        <w:spacing w:before="0" w:after="0" w:line="360" w:lineRule="auto"/>
        <w:jc w:val="both"/>
        <w:rPr>
          <w:rFonts w:cs="Arial"/>
          <w:b/>
          <w:sz w:val="22"/>
          <w:szCs w:val="22"/>
        </w:rPr>
      </w:pPr>
      <w:r w:rsidRPr="00533CC4">
        <w:rPr>
          <w:rFonts w:cs="Arial"/>
          <w:b/>
          <w:sz w:val="22"/>
          <w:szCs w:val="22"/>
        </w:rPr>
        <w:t xml:space="preserve">HT Category </w:t>
      </w:r>
    </w:p>
    <w:p w:rsidR="004276A0" w:rsidRPr="00533CC4" w:rsidRDefault="004276A0" w:rsidP="004276A0">
      <w:pPr>
        <w:pStyle w:val="BodyText2"/>
        <w:spacing w:line="360" w:lineRule="auto"/>
        <w:jc w:val="both"/>
        <w:rPr>
          <w:rFonts w:cs="Arial"/>
          <w:sz w:val="22"/>
          <w:szCs w:val="22"/>
        </w:rPr>
      </w:pPr>
      <w:r w:rsidRPr="00533CC4">
        <w:rPr>
          <w:rFonts w:cs="Arial"/>
          <w:sz w:val="22"/>
          <w:szCs w:val="22"/>
        </w:rPr>
        <w:t xml:space="preserve">The average sale for HT category consumers has been estimated for the ensuing year and is based on the trend of the FY 2013-14 and actual load for the half year ending Sept’14. The sales in this category are </w:t>
      </w:r>
      <w:r w:rsidR="003C5FF9">
        <w:rPr>
          <w:rFonts w:cs="Arial"/>
          <w:sz w:val="22"/>
          <w:szCs w:val="22"/>
        </w:rPr>
        <w:t>declining</w:t>
      </w:r>
      <w:r w:rsidRPr="00533CC4">
        <w:rPr>
          <w:rFonts w:cs="Arial"/>
          <w:sz w:val="22"/>
          <w:szCs w:val="22"/>
        </w:rPr>
        <w:t xml:space="preserve"> on account of recession in steel </w:t>
      </w:r>
      <w:r w:rsidR="003C5FF9">
        <w:rPr>
          <w:rFonts w:cs="Arial"/>
          <w:sz w:val="22"/>
          <w:szCs w:val="22"/>
        </w:rPr>
        <w:t xml:space="preserve">/ metal </w:t>
      </w:r>
      <w:r w:rsidRPr="00533CC4">
        <w:rPr>
          <w:rFonts w:cs="Arial"/>
          <w:sz w:val="22"/>
          <w:szCs w:val="22"/>
        </w:rPr>
        <w:t>&amp; mining sector</w:t>
      </w:r>
      <w:r w:rsidR="003C5FF9">
        <w:rPr>
          <w:rFonts w:cs="Arial"/>
          <w:sz w:val="22"/>
          <w:szCs w:val="22"/>
        </w:rPr>
        <w:t>s,</w:t>
      </w:r>
      <w:r w:rsidRPr="00533CC4">
        <w:rPr>
          <w:rFonts w:cs="Arial"/>
          <w:sz w:val="22"/>
          <w:szCs w:val="22"/>
        </w:rPr>
        <w:t xml:space="preserve"> industrial slowdown and temporary closure/disconnection of </w:t>
      </w:r>
      <w:r w:rsidR="003C5FF9">
        <w:rPr>
          <w:rFonts w:cs="Arial"/>
          <w:sz w:val="22"/>
          <w:szCs w:val="22"/>
        </w:rPr>
        <w:t>metal-</w:t>
      </w:r>
      <w:r w:rsidRPr="00533CC4">
        <w:rPr>
          <w:rFonts w:cs="Arial"/>
          <w:sz w:val="22"/>
          <w:szCs w:val="22"/>
        </w:rPr>
        <w:t>making industries. Hence the additional consumption as proposed based on actual consumption till Sep</w:t>
      </w:r>
      <w:r w:rsidR="003C5FF9">
        <w:rPr>
          <w:rFonts w:cs="Arial"/>
          <w:sz w:val="22"/>
          <w:szCs w:val="22"/>
        </w:rPr>
        <w:t>t</w:t>
      </w:r>
      <w:r w:rsidRPr="00533CC4">
        <w:rPr>
          <w:rFonts w:cs="Arial"/>
          <w:sz w:val="22"/>
          <w:szCs w:val="22"/>
        </w:rPr>
        <w:t xml:space="preserve">-14. </w:t>
      </w:r>
    </w:p>
    <w:p w:rsidR="00055C5F" w:rsidRPr="00B72C5A" w:rsidRDefault="00055C5F" w:rsidP="00055C5F">
      <w:pPr>
        <w:pStyle w:val="BodyText2"/>
        <w:spacing w:before="0" w:after="0" w:line="360" w:lineRule="auto"/>
        <w:ind w:left="6480" w:firstLine="720"/>
        <w:jc w:val="both"/>
        <w:rPr>
          <w:rFonts w:cs="Arial"/>
          <w:b/>
          <w:sz w:val="22"/>
          <w:szCs w:val="22"/>
        </w:rPr>
      </w:pPr>
      <w:r w:rsidRPr="00B72C5A">
        <w:rPr>
          <w:rFonts w:cs="Arial"/>
          <w:b/>
          <w:sz w:val="22"/>
          <w:szCs w:val="22"/>
        </w:rPr>
        <w:t xml:space="preserve">   MU</w:t>
      </w:r>
    </w:p>
    <w:tbl>
      <w:tblPr>
        <w:tblW w:w="8200" w:type="dxa"/>
        <w:tblInd w:w="98" w:type="dxa"/>
        <w:tblLook w:val="04A0"/>
      </w:tblPr>
      <w:tblGrid>
        <w:gridCol w:w="2980"/>
        <w:gridCol w:w="1620"/>
        <w:gridCol w:w="1620"/>
        <w:gridCol w:w="1980"/>
      </w:tblGrid>
      <w:tr w:rsidR="00055C5F" w:rsidRPr="00B72C5A" w:rsidTr="00AE0BAB">
        <w:trPr>
          <w:trHeight w:val="645"/>
        </w:trPr>
        <w:tc>
          <w:tcPr>
            <w:tcW w:w="2980" w:type="dxa"/>
            <w:tcBorders>
              <w:top w:val="single" w:sz="8" w:space="0" w:color="auto"/>
              <w:left w:val="single" w:sz="8" w:space="0" w:color="auto"/>
              <w:bottom w:val="single" w:sz="8" w:space="0" w:color="auto"/>
              <w:right w:val="single" w:sz="8" w:space="0" w:color="auto"/>
            </w:tcBorders>
            <w:shd w:val="clear" w:color="000000" w:fill="FFCC99"/>
            <w:noWrap/>
            <w:vAlign w:val="center"/>
            <w:hideMark/>
          </w:tcPr>
          <w:p w:rsidR="00055C5F" w:rsidRPr="00B72C5A" w:rsidRDefault="00055C5F" w:rsidP="00AE0BAB">
            <w:pPr>
              <w:jc w:val="center"/>
              <w:rPr>
                <w:rFonts w:ascii="Arial" w:hAnsi="Arial" w:cs="Arial"/>
                <w:b/>
                <w:bCs/>
                <w:sz w:val="22"/>
                <w:szCs w:val="22"/>
              </w:rPr>
            </w:pPr>
            <w:r w:rsidRPr="00B72C5A">
              <w:rPr>
                <w:rFonts w:ascii="Arial" w:hAnsi="Arial" w:cs="Arial"/>
                <w:b/>
                <w:bCs/>
                <w:sz w:val="22"/>
                <w:szCs w:val="22"/>
              </w:rPr>
              <w:t>Sales</w:t>
            </w:r>
          </w:p>
        </w:tc>
        <w:tc>
          <w:tcPr>
            <w:tcW w:w="1620" w:type="dxa"/>
            <w:tcBorders>
              <w:top w:val="single" w:sz="8" w:space="0" w:color="auto"/>
              <w:left w:val="nil"/>
              <w:bottom w:val="single" w:sz="8" w:space="0" w:color="auto"/>
              <w:right w:val="single" w:sz="8" w:space="0" w:color="auto"/>
            </w:tcBorders>
            <w:shd w:val="clear" w:color="000000" w:fill="FFCC99"/>
            <w:noWrap/>
            <w:vAlign w:val="center"/>
            <w:hideMark/>
          </w:tcPr>
          <w:p w:rsidR="00055C5F" w:rsidRPr="00B72C5A" w:rsidRDefault="00055C5F" w:rsidP="00AE0BAB">
            <w:pPr>
              <w:jc w:val="center"/>
              <w:rPr>
                <w:rFonts w:ascii="Arial" w:hAnsi="Arial" w:cs="Arial"/>
                <w:b/>
                <w:bCs/>
                <w:sz w:val="22"/>
                <w:szCs w:val="22"/>
              </w:rPr>
            </w:pPr>
            <w:r w:rsidRPr="00B72C5A">
              <w:rPr>
                <w:rFonts w:ascii="Arial" w:hAnsi="Arial" w:cs="Arial"/>
                <w:b/>
                <w:bCs/>
                <w:sz w:val="22"/>
                <w:szCs w:val="22"/>
              </w:rPr>
              <w:t>FY 2013-14</w:t>
            </w:r>
          </w:p>
        </w:tc>
        <w:tc>
          <w:tcPr>
            <w:tcW w:w="1620" w:type="dxa"/>
            <w:tcBorders>
              <w:top w:val="single" w:sz="8" w:space="0" w:color="auto"/>
              <w:left w:val="nil"/>
              <w:bottom w:val="single" w:sz="8" w:space="0" w:color="auto"/>
              <w:right w:val="single" w:sz="8" w:space="0" w:color="auto"/>
            </w:tcBorders>
            <w:shd w:val="clear" w:color="000000" w:fill="FFCC99"/>
            <w:noWrap/>
            <w:vAlign w:val="center"/>
            <w:hideMark/>
          </w:tcPr>
          <w:p w:rsidR="00055C5F" w:rsidRPr="00B72C5A" w:rsidRDefault="00055C5F" w:rsidP="00AE0BAB">
            <w:pPr>
              <w:jc w:val="center"/>
              <w:rPr>
                <w:rFonts w:ascii="Arial" w:hAnsi="Arial" w:cs="Arial"/>
                <w:b/>
                <w:bCs/>
                <w:sz w:val="22"/>
                <w:szCs w:val="22"/>
              </w:rPr>
            </w:pPr>
            <w:r w:rsidRPr="00B72C5A">
              <w:rPr>
                <w:rFonts w:ascii="Arial" w:hAnsi="Arial" w:cs="Arial"/>
                <w:b/>
                <w:bCs/>
                <w:sz w:val="22"/>
                <w:szCs w:val="22"/>
              </w:rPr>
              <w:t>FY 2014-15</w:t>
            </w:r>
          </w:p>
        </w:tc>
        <w:tc>
          <w:tcPr>
            <w:tcW w:w="1980" w:type="dxa"/>
            <w:tcBorders>
              <w:top w:val="single" w:sz="8" w:space="0" w:color="auto"/>
              <w:left w:val="nil"/>
              <w:bottom w:val="single" w:sz="8" w:space="0" w:color="auto"/>
              <w:right w:val="single" w:sz="8" w:space="0" w:color="auto"/>
            </w:tcBorders>
            <w:shd w:val="clear" w:color="000000" w:fill="FFCC99"/>
            <w:vAlign w:val="center"/>
            <w:hideMark/>
          </w:tcPr>
          <w:p w:rsidR="00055C5F" w:rsidRPr="00B72C5A" w:rsidRDefault="00055C5F" w:rsidP="00AE0BAB">
            <w:pPr>
              <w:jc w:val="center"/>
              <w:rPr>
                <w:rFonts w:ascii="Arial" w:hAnsi="Arial" w:cs="Arial"/>
                <w:b/>
                <w:bCs/>
                <w:sz w:val="22"/>
                <w:szCs w:val="22"/>
              </w:rPr>
            </w:pPr>
            <w:r w:rsidRPr="00B72C5A">
              <w:rPr>
                <w:rFonts w:ascii="Arial" w:hAnsi="Arial" w:cs="Arial"/>
                <w:b/>
                <w:bCs/>
                <w:sz w:val="22"/>
                <w:szCs w:val="22"/>
              </w:rPr>
              <w:t>FY 2015-16</w:t>
            </w:r>
          </w:p>
        </w:tc>
      </w:tr>
      <w:tr w:rsidR="00055C5F" w:rsidRPr="00B72C5A" w:rsidTr="00AE0BAB">
        <w:trPr>
          <w:trHeight w:val="645"/>
        </w:trPr>
        <w:tc>
          <w:tcPr>
            <w:tcW w:w="2980" w:type="dxa"/>
            <w:tcBorders>
              <w:top w:val="nil"/>
              <w:left w:val="single" w:sz="8" w:space="0" w:color="auto"/>
              <w:bottom w:val="single" w:sz="8" w:space="0" w:color="auto"/>
              <w:right w:val="single" w:sz="8" w:space="0" w:color="auto"/>
            </w:tcBorders>
            <w:shd w:val="clear" w:color="auto" w:fill="auto"/>
            <w:noWrap/>
            <w:vAlign w:val="center"/>
            <w:hideMark/>
          </w:tcPr>
          <w:p w:rsidR="00055C5F" w:rsidRPr="00B72C5A" w:rsidRDefault="00055C5F" w:rsidP="00AE0BAB">
            <w:pPr>
              <w:jc w:val="center"/>
              <w:rPr>
                <w:rFonts w:ascii="Arial" w:hAnsi="Arial" w:cs="Arial"/>
                <w:sz w:val="22"/>
                <w:szCs w:val="22"/>
              </w:rPr>
            </w:pPr>
            <w:r w:rsidRPr="00B72C5A">
              <w:rPr>
                <w:rFonts w:ascii="Arial" w:hAnsi="Arial" w:cs="Arial"/>
                <w:sz w:val="22"/>
                <w:szCs w:val="22"/>
              </w:rPr>
              <w:t>Large Industry</w:t>
            </w:r>
          </w:p>
        </w:tc>
        <w:tc>
          <w:tcPr>
            <w:tcW w:w="1620" w:type="dxa"/>
            <w:tcBorders>
              <w:top w:val="nil"/>
              <w:left w:val="nil"/>
              <w:bottom w:val="single" w:sz="8" w:space="0" w:color="auto"/>
              <w:right w:val="single" w:sz="8" w:space="0" w:color="auto"/>
            </w:tcBorders>
            <w:shd w:val="clear" w:color="auto" w:fill="auto"/>
            <w:noWrap/>
            <w:vAlign w:val="center"/>
            <w:hideMark/>
          </w:tcPr>
          <w:p w:rsidR="00055C5F" w:rsidRPr="00B72C5A" w:rsidRDefault="00055C5F" w:rsidP="00AE0BAB">
            <w:pPr>
              <w:jc w:val="center"/>
              <w:rPr>
                <w:rFonts w:ascii="Arial" w:hAnsi="Arial" w:cs="Arial"/>
                <w:sz w:val="22"/>
                <w:szCs w:val="22"/>
              </w:rPr>
            </w:pPr>
            <w:r w:rsidRPr="00B72C5A">
              <w:rPr>
                <w:rFonts w:ascii="Arial" w:hAnsi="Arial" w:cs="Arial"/>
                <w:sz w:val="22"/>
                <w:szCs w:val="22"/>
              </w:rPr>
              <w:t>317.13</w:t>
            </w:r>
          </w:p>
        </w:tc>
        <w:tc>
          <w:tcPr>
            <w:tcW w:w="1620" w:type="dxa"/>
            <w:tcBorders>
              <w:top w:val="nil"/>
              <w:left w:val="nil"/>
              <w:bottom w:val="single" w:sz="8" w:space="0" w:color="auto"/>
              <w:right w:val="single" w:sz="8" w:space="0" w:color="auto"/>
            </w:tcBorders>
            <w:shd w:val="clear" w:color="auto" w:fill="auto"/>
            <w:noWrap/>
            <w:vAlign w:val="center"/>
            <w:hideMark/>
          </w:tcPr>
          <w:p w:rsidR="00055C5F" w:rsidRPr="00B72C5A" w:rsidRDefault="00055C5F" w:rsidP="00AE0BAB">
            <w:pPr>
              <w:jc w:val="center"/>
              <w:rPr>
                <w:rFonts w:ascii="Arial" w:hAnsi="Arial" w:cs="Arial"/>
                <w:sz w:val="22"/>
                <w:szCs w:val="22"/>
              </w:rPr>
            </w:pPr>
            <w:r w:rsidRPr="00B72C5A">
              <w:rPr>
                <w:rFonts w:ascii="Arial" w:hAnsi="Arial" w:cs="Arial"/>
                <w:sz w:val="22"/>
                <w:szCs w:val="22"/>
              </w:rPr>
              <w:t>244.64</w:t>
            </w:r>
          </w:p>
        </w:tc>
        <w:tc>
          <w:tcPr>
            <w:tcW w:w="1980" w:type="dxa"/>
            <w:tcBorders>
              <w:top w:val="nil"/>
              <w:left w:val="nil"/>
              <w:bottom w:val="single" w:sz="8" w:space="0" w:color="auto"/>
              <w:right w:val="single" w:sz="8" w:space="0" w:color="auto"/>
            </w:tcBorders>
            <w:shd w:val="clear" w:color="auto" w:fill="auto"/>
            <w:noWrap/>
            <w:vAlign w:val="center"/>
            <w:hideMark/>
          </w:tcPr>
          <w:p w:rsidR="00055C5F" w:rsidRPr="00B72C5A" w:rsidRDefault="00055C5F" w:rsidP="00AE0BAB">
            <w:pPr>
              <w:jc w:val="center"/>
              <w:rPr>
                <w:rFonts w:ascii="Arial" w:hAnsi="Arial" w:cs="Arial"/>
                <w:sz w:val="22"/>
                <w:szCs w:val="22"/>
              </w:rPr>
            </w:pPr>
            <w:r w:rsidRPr="00B72C5A">
              <w:rPr>
                <w:rFonts w:ascii="Arial" w:hAnsi="Arial" w:cs="Arial"/>
                <w:sz w:val="22"/>
                <w:szCs w:val="22"/>
              </w:rPr>
              <w:t>234.99</w:t>
            </w:r>
          </w:p>
        </w:tc>
      </w:tr>
      <w:tr w:rsidR="00055C5F" w:rsidRPr="00B72C5A" w:rsidTr="00AE0BAB">
        <w:trPr>
          <w:trHeight w:val="645"/>
        </w:trPr>
        <w:tc>
          <w:tcPr>
            <w:tcW w:w="2980" w:type="dxa"/>
            <w:tcBorders>
              <w:top w:val="nil"/>
              <w:left w:val="single" w:sz="8" w:space="0" w:color="auto"/>
              <w:bottom w:val="single" w:sz="8" w:space="0" w:color="auto"/>
              <w:right w:val="single" w:sz="8" w:space="0" w:color="auto"/>
            </w:tcBorders>
            <w:shd w:val="clear" w:color="auto" w:fill="auto"/>
            <w:noWrap/>
            <w:vAlign w:val="center"/>
            <w:hideMark/>
          </w:tcPr>
          <w:p w:rsidR="00055C5F" w:rsidRPr="00B72C5A" w:rsidRDefault="00055C5F" w:rsidP="00AE0BAB">
            <w:pPr>
              <w:jc w:val="center"/>
              <w:rPr>
                <w:rFonts w:ascii="Arial" w:hAnsi="Arial" w:cs="Arial"/>
                <w:sz w:val="22"/>
                <w:szCs w:val="22"/>
              </w:rPr>
            </w:pPr>
            <w:r w:rsidRPr="00B72C5A">
              <w:rPr>
                <w:rFonts w:ascii="Arial" w:hAnsi="Arial" w:cs="Arial"/>
                <w:sz w:val="22"/>
                <w:szCs w:val="22"/>
              </w:rPr>
              <w:t>Power intensive</w:t>
            </w:r>
          </w:p>
        </w:tc>
        <w:tc>
          <w:tcPr>
            <w:tcW w:w="1620" w:type="dxa"/>
            <w:tcBorders>
              <w:top w:val="nil"/>
              <w:left w:val="nil"/>
              <w:bottom w:val="single" w:sz="8" w:space="0" w:color="auto"/>
              <w:right w:val="single" w:sz="8" w:space="0" w:color="auto"/>
            </w:tcBorders>
            <w:shd w:val="clear" w:color="auto" w:fill="auto"/>
            <w:noWrap/>
            <w:vAlign w:val="center"/>
            <w:hideMark/>
          </w:tcPr>
          <w:p w:rsidR="00055C5F" w:rsidRPr="00B72C5A" w:rsidRDefault="00055C5F" w:rsidP="00AE0BAB">
            <w:pPr>
              <w:jc w:val="center"/>
              <w:rPr>
                <w:rFonts w:ascii="Arial" w:hAnsi="Arial" w:cs="Arial"/>
                <w:sz w:val="22"/>
                <w:szCs w:val="22"/>
              </w:rPr>
            </w:pPr>
            <w:r w:rsidRPr="00B72C5A">
              <w:rPr>
                <w:rFonts w:ascii="Arial" w:hAnsi="Arial" w:cs="Arial"/>
                <w:sz w:val="22"/>
                <w:szCs w:val="22"/>
              </w:rPr>
              <w:t>52.79</w:t>
            </w:r>
          </w:p>
        </w:tc>
        <w:tc>
          <w:tcPr>
            <w:tcW w:w="1620" w:type="dxa"/>
            <w:tcBorders>
              <w:top w:val="nil"/>
              <w:left w:val="nil"/>
              <w:bottom w:val="single" w:sz="8" w:space="0" w:color="auto"/>
              <w:right w:val="single" w:sz="8" w:space="0" w:color="auto"/>
            </w:tcBorders>
            <w:shd w:val="clear" w:color="auto" w:fill="auto"/>
            <w:noWrap/>
            <w:vAlign w:val="center"/>
            <w:hideMark/>
          </w:tcPr>
          <w:p w:rsidR="00055C5F" w:rsidRPr="00B72C5A" w:rsidRDefault="00055C5F" w:rsidP="00AE0BAB">
            <w:pPr>
              <w:jc w:val="center"/>
              <w:rPr>
                <w:rFonts w:ascii="Arial" w:hAnsi="Arial" w:cs="Arial"/>
                <w:sz w:val="22"/>
                <w:szCs w:val="22"/>
              </w:rPr>
            </w:pPr>
            <w:r w:rsidRPr="00B72C5A">
              <w:rPr>
                <w:rFonts w:ascii="Arial" w:hAnsi="Arial" w:cs="Arial"/>
                <w:sz w:val="22"/>
                <w:szCs w:val="22"/>
              </w:rPr>
              <w:t>66.26</w:t>
            </w:r>
          </w:p>
        </w:tc>
        <w:tc>
          <w:tcPr>
            <w:tcW w:w="1980" w:type="dxa"/>
            <w:tcBorders>
              <w:top w:val="nil"/>
              <w:left w:val="nil"/>
              <w:bottom w:val="single" w:sz="8" w:space="0" w:color="auto"/>
              <w:right w:val="single" w:sz="8" w:space="0" w:color="auto"/>
            </w:tcBorders>
            <w:shd w:val="clear" w:color="auto" w:fill="auto"/>
            <w:noWrap/>
            <w:vAlign w:val="center"/>
            <w:hideMark/>
          </w:tcPr>
          <w:p w:rsidR="00055C5F" w:rsidRPr="00B72C5A" w:rsidRDefault="00055C5F" w:rsidP="00AE0BAB">
            <w:pPr>
              <w:jc w:val="center"/>
              <w:rPr>
                <w:rFonts w:ascii="Arial" w:hAnsi="Arial" w:cs="Arial"/>
                <w:sz w:val="22"/>
                <w:szCs w:val="22"/>
              </w:rPr>
            </w:pPr>
            <w:r w:rsidRPr="00B72C5A">
              <w:rPr>
                <w:rFonts w:ascii="Arial" w:hAnsi="Arial" w:cs="Arial"/>
                <w:sz w:val="22"/>
                <w:szCs w:val="22"/>
              </w:rPr>
              <w:t>69.39</w:t>
            </w:r>
          </w:p>
        </w:tc>
      </w:tr>
      <w:tr w:rsidR="00055C5F" w:rsidRPr="00B72C5A" w:rsidTr="00AE0BAB">
        <w:trPr>
          <w:trHeight w:val="330"/>
        </w:trPr>
        <w:tc>
          <w:tcPr>
            <w:tcW w:w="2980" w:type="dxa"/>
            <w:tcBorders>
              <w:top w:val="nil"/>
              <w:left w:val="single" w:sz="8" w:space="0" w:color="auto"/>
              <w:bottom w:val="single" w:sz="8" w:space="0" w:color="auto"/>
              <w:right w:val="single" w:sz="8" w:space="0" w:color="auto"/>
            </w:tcBorders>
            <w:shd w:val="clear" w:color="auto" w:fill="auto"/>
            <w:noWrap/>
            <w:vAlign w:val="center"/>
            <w:hideMark/>
          </w:tcPr>
          <w:p w:rsidR="00055C5F" w:rsidRPr="00B72C5A" w:rsidRDefault="00055C5F" w:rsidP="00AE0BAB">
            <w:pPr>
              <w:jc w:val="center"/>
              <w:rPr>
                <w:rFonts w:ascii="Arial" w:hAnsi="Arial" w:cs="Arial"/>
                <w:sz w:val="22"/>
                <w:szCs w:val="22"/>
              </w:rPr>
            </w:pPr>
            <w:r w:rsidRPr="00B72C5A">
              <w:rPr>
                <w:rFonts w:ascii="Arial" w:hAnsi="Arial" w:cs="Arial"/>
                <w:sz w:val="22"/>
                <w:szCs w:val="22"/>
              </w:rPr>
              <w:t>Others</w:t>
            </w:r>
          </w:p>
        </w:tc>
        <w:tc>
          <w:tcPr>
            <w:tcW w:w="1620" w:type="dxa"/>
            <w:tcBorders>
              <w:top w:val="nil"/>
              <w:left w:val="nil"/>
              <w:bottom w:val="single" w:sz="8" w:space="0" w:color="auto"/>
              <w:right w:val="single" w:sz="8" w:space="0" w:color="auto"/>
            </w:tcBorders>
            <w:shd w:val="clear" w:color="auto" w:fill="auto"/>
            <w:noWrap/>
            <w:vAlign w:val="center"/>
            <w:hideMark/>
          </w:tcPr>
          <w:p w:rsidR="00055C5F" w:rsidRPr="00B72C5A" w:rsidRDefault="00055C5F" w:rsidP="00AE0BAB">
            <w:pPr>
              <w:jc w:val="center"/>
              <w:rPr>
                <w:rFonts w:ascii="Arial" w:hAnsi="Arial" w:cs="Arial"/>
                <w:sz w:val="22"/>
                <w:szCs w:val="22"/>
              </w:rPr>
            </w:pPr>
            <w:r w:rsidRPr="00B72C5A">
              <w:rPr>
                <w:rFonts w:ascii="Arial" w:hAnsi="Arial" w:cs="Arial"/>
                <w:sz w:val="22"/>
                <w:szCs w:val="22"/>
              </w:rPr>
              <w:t>70.61</w:t>
            </w:r>
          </w:p>
        </w:tc>
        <w:tc>
          <w:tcPr>
            <w:tcW w:w="1620" w:type="dxa"/>
            <w:tcBorders>
              <w:top w:val="nil"/>
              <w:left w:val="nil"/>
              <w:bottom w:val="single" w:sz="8" w:space="0" w:color="auto"/>
              <w:right w:val="single" w:sz="8" w:space="0" w:color="auto"/>
            </w:tcBorders>
            <w:shd w:val="clear" w:color="auto" w:fill="auto"/>
            <w:noWrap/>
            <w:vAlign w:val="center"/>
            <w:hideMark/>
          </w:tcPr>
          <w:p w:rsidR="00055C5F" w:rsidRPr="00B72C5A" w:rsidRDefault="00055C5F" w:rsidP="00AE0BAB">
            <w:pPr>
              <w:jc w:val="center"/>
              <w:rPr>
                <w:rFonts w:ascii="Arial" w:hAnsi="Arial" w:cs="Arial"/>
                <w:sz w:val="22"/>
                <w:szCs w:val="22"/>
              </w:rPr>
            </w:pPr>
            <w:r w:rsidRPr="00B72C5A">
              <w:rPr>
                <w:rFonts w:ascii="Arial" w:hAnsi="Arial" w:cs="Arial"/>
                <w:sz w:val="22"/>
                <w:szCs w:val="22"/>
              </w:rPr>
              <w:t>77.19</w:t>
            </w:r>
          </w:p>
        </w:tc>
        <w:tc>
          <w:tcPr>
            <w:tcW w:w="1980" w:type="dxa"/>
            <w:tcBorders>
              <w:top w:val="nil"/>
              <w:left w:val="nil"/>
              <w:bottom w:val="single" w:sz="8" w:space="0" w:color="auto"/>
              <w:right w:val="single" w:sz="8" w:space="0" w:color="auto"/>
            </w:tcBorders>
            <w:shd w:val="clear" w:color="auto" w:fill="auto"/>
            <w:noWrap/>
            <w:vAlign w:val="center"/>
            <w:hideMark/>
          </w:tcPr>
          <w:p w:rsidR="00055C5F" w:rsidRPr="00B72C5A" w:rsidRDefault="00055C5F" w:rsidP="00AE0BAB">
            <w:pPr>
              <w:jc w:val="center"/>
              <w:rPr>
                <w:rFonts w:ascii="Arial" w:hAnsi="Arial" w:cs="Arial"/>
                <w:sz w:val="22"/>
                <w:szCs w:val="22"/>
              </w:rPr>
            </w:pPr>
            <w:r w:rsidRPr="00B72C5A">
              <w:rPr>
                <w:rFonts w:ascii="Arial" w:hAnsi="Arial" w:cs="Arial"/>
                <w:sz w:val="22"/>
                <w:szCs w:val="22"/>
              </w:rPr>
              <w:t>86.35</w:t>
            </w:r>
          </w:p>
        </w:tc>
      </w:tr>
      <w:tr w:rsidR="00055C5F" w:rsidRPr="00B72C5A" w:rsidTr="00AE0BAB">
        <w:trPr>
          <w:trHeight w:val="330"/>
        </w:trPr>
        <w:tc>
          <w:tcPr>
            <w:tcW w:w="2980" w:type="dxa"/>
            <w:tcBorders>
              <w:top w:val="nil"/>
              <w:left w:val="single" w:sz="8" w:space="0" w:color="auto"/>
              <w:bottom w:val="single" w:sz="8" w:space="0" w:color="auto"/>
              <w:right w:val="single" w:sz="8" w:space="0" w:color="auto"/>
            </w:tcBorders>
            <w:shd w:val="clear" w:color="auto" w:fill="auto"/>
            <w:noWrap/>
            <w:vAlign w:val="bottom"/>
            <w:hideMark/>
          </w:tcPr>
          <w:p w:rsidR="00055C5F" w:rsidRPr="00B72C5A" w:rsidRDefault="00055C5F" w:rsidP="00AE0BAB">
            <w:pPr>
              <w:jc w:val="right"/>
              <w:rPr>
                <w:rFonts w:ascii="Arial" w:hAnsi="Arial" w:cs="Arial"/>
                <w:b/>
                <w:bCs/>
                <w:sz w:val="22"/>
                <w:szCs w:val="22"/>
              </w:rPr>
            </w:pPr>
            <w:r w:rsidRPr="00B72C5A">
              <w:rPr>
                <w:rFonts w:ascii="Arial" w:hAnsi="Arial" w:cs="Arial"/>
                <w:b/>
                <w:bCs/>
                <w:sz w:val="22"/>
                <w:szCs w:val="22"/>
              </w:rPr>
              <w:t>Total</w:t>
            </w:r>
          </w:p>
        </w:tc>
        <w:tc>
          <w:tcPr>
            <w:tcW w:w="1620" w:type="dxa"/>
            <w:tcBorders>
              <w:top w:val="nil"/>
              <w:left w:val="nil"/>
              <w:bottom w:val="single" w:sz="8" w:space="0" w:color="auto"/>
              <w:right w:val="single" w:sz="8" w:space="0" w:color="auto"/>
            </w:tcBorders>
            <w:shd w:val="clear" w:color="auto" w:fill="auto"/>
            <w:noWrap/>
            <w:vAlign w:val="bottom"/>
            <w:hideMark/>
          </w:tcPr>
          <w:p w:rsidR="00055C5F" w:rsidRPr="00B72C5A" w:rsidRDefault="00055C5F" w:rsidP="00AE0BAB">
            <w:pPr>
              <w:jc w:val="center"/>
              <w:rPr>
                <w:rFonts w:ascii="Arial" w:hAnsi="Arial" w:cs="Arial"/>
                <w:b/>
                <w:bCs/>
                <w:sz w:val="22"/>
                <w:szCs w:val="22"/>
              </w:rPr>
            </w:pPr>
            <w:r w:rsidRPr="00B72C5A">
              <w:rPr>
                <w:rFonts w:ascii="Arial" w:hAnsi="Arial" w:cs="Arial"/>
                <w:b/>
                <w:bCs/>
                <w:sz w:val="22"/>
                <w:szCs w:val="22"/>
              </w:rPr>
              <w:t>440.54</w:t>
            </w:r>
          </w:p>
        </w:tc>
        <w:tc>
          <w:tcPr>
            <w:tcW w:w="1620" w:type="dxa"/>
            <w:tcBorders>
              <w:top w:val="nil"/>
              <w:left w:val="nil"/>
              <w:bottom w:val="single" w:sz="8" w:space="0" w:color="auto"/>
              <w:right w:val="single" w:sz="8" w:space="0" w:color="auto"/>
            </w:tcBorders>
            <w:shd w:val="clear" w:color="auto" w:fill="auto"/>
            <w:noWrap/>
            <w:vAlign w:val="bottom"/>
            <w:hideMark/>
          </w:tcPr>
          <w:p w:rsidR="00055C5F" w:rsidRPr="00B72C5A" w:rsidRDefault="00055C5F" w:rsidP="00AE0BAB">
            <w:pPr>
              <w:jc w:val="center"/>
              <w:rPr>
                <w:rFonts w:ascii="Arial" w:hAnsi="Arial" w:cs="Arial"/>
                <w:b/>
                <w:bCs/>
                <w:sz w:val="22"/>
                <w:szCs w:val="22"/>
              </w:rPr>
            </w:pPr>
            <w:r w:rsidRPr="00B72C5A">
              <w:rPr>
                <w:rFonts w:ascii="Arial" w:hAnsi="Arial" w:cs="Arial"/>
                <w:b/>
                <w:bCs/>
                <w:sz w:val="22"/>
                <w:szCs w:val="22"/>
              </w:rPr>
              <w:t>388.099</w:t>
            </w:r>
          </w:p>
        </w:tc>
        <w:tc>
          <w:tcPr>
            <w:tcW w:w="1980" w:type="dxa"/>
            <w:tcBorders>
              <w:top w:val="nil"/>
              <w:left w:val="nil"/>
              <w:bottom w:val="single" w:sz="8" w:space="0" w:color="auto"/>
              <w:right w:val="single" w:sz="8" w:space="0" w:color="auto"/>
            </w:tcBorders>
            <w:shd w:val="clear" w:color="auto" w:fill="auto"/>
            <w:noWrap/>
            <w:vAlign w:val="bottom"/>
            <w:hideMark/>
          </w:tcPr>
          <w:p w:rsidR="00055C5F" w:rsidRPr="00B72C5A" w:rsidRDefault="00055C5F" w:rsidP="00AE0BAB">
            <w:pPr>
              <w:jc w:val="center"/>
              <w:rPr>
                <w:rFonts w:ascii="Arial" w:hAnsi="Arial" w:cs="Arial"/>
                <w:b/>
                <w:bCs/>
                <w:sz w:val="22"/>
                <w:szCs w:val="22"/>
              </w:rPr>
            </w:pPr>
            <w:r w:rsidRPr="00B72C5A">
              <w:rPr>
                <w:rFonts w:ascii="Arial" w:hAnsi="Arial" w:cs="Arial"/>
                <w:b/>
                <w:bCs/>
                <w:sz w:val="22"/>
                <w:szCs w:val="22"/>
              </w:rPr>
              <w:t>390.722</w:t>
            </w:r>
          </w:p>
        </w:tc>
      </w:tr>
    </w:tbl>
    <w:p w:rsidR="00055C5F" w:rsidRDefault="00055C5F" w:rsidP="00055C5F">
      <w:pPr>
        <w:pStyle w:val="BodyText2"/>
        <w:spacing w:before="0" w:after="0" w:line="360" w:lineRule="auto"/>
        <w:ind w:left="6480" w:firstLine="720"/>
        <w:jc w:val="both"/>
        <w:rPr>
          <w:rFonts w:ascii="Cambria" w:hAnsi="Cambria"/>
          <w:b/>
          <w:sz w:val="24"/>
          <w:szCs w:val="24"/>
        </w:rPr>
      </w:pPr>
    </w:p>
    <w:p w:rsidR="004276A0" w:rsidRPr="00B72C5A" w:rsidRDefault="004276A0" w:rsidP="004276A0">
      <w:pPr>
        <w:pStyle w:val="BodyText2"/>
        <w:spacing w:line="360" w:lineRule="auto"/>
        <w:jc w:val="both"/>
        <w:rPr>
          <w:rFonts w:cs="Arial"/>
          <w:b/>
          <w:sz w:val="22"/>
          <w:szCs w:val="22"/>
        </w:rPr>
      </w:pPr>
      <w:r w:rsidRPr="00B72C5A">
        <w:rPr>
          <w:rFonts w:cs="Arial"/>
          <w:b/>
          <w:sz w:val="22"/>
          <w:szCs w:val="22"/>
        </w:rPr>
        <w:t>EHT Category</w:t>
      </w:r>
    </w:p>
    <w:p w:rsidR="009C414F" w:rsidRPr="00B72C5A" w:rsidRDefault="003C5FF9" w:rsidP="00B516EE">
      <w:pPr>
        <w:pStyle w:val="BodyText2"/>
        <w:spacing w:line="360" w:lineRule="auto"/>
        <w:jc w:val="both"/>
        <w:rPr>
          <w:rFonts w:cs="Arial"/>
          <w:sz w:val="22"/>
          <w:szCs w:val="22"/>
        </w:rPr>
      </w:pPr>
      <w:r>
        <w:rPr>
          <w:rFonts w:cs="Arial"/>
          <w:sz w:val="22"/>
          <w:szCs w:val="22"/>
        </w:rPr>
        <w:t xml:space="preserve">The licensee has projected </w:t>
      </w:r>
      <w:r w:rsidR="006136D2" w:rsidRPr="00B72C5A">
        <w:rPr>
          <w:rFonts w:cs="Arial"/>
          <w:sz w:val="22"/>
          <w:szCs w:val="22"/>
        </w:rPr>
        <w:t xml:space="preserve">1534.970 </w:t>
      </w:r>
      <w:r w:rsidR="00B516EE" w:rsidRPr="00B72C5A">
        <w:rPr>
          <w:rFonts w:cs="Arial"/>
          <w:sz w:val="22"/>
          <w:szCs w:val="22"/>
        </w:rPr>
        <w:t>MU of sales in the ensuing year. From FY 2010-11 onwards most of the industries are moving towards their own CPP</w:t>
      </w:r>
      <w:r>
        <w:rPr>
          <w:rFonts w:cs="Arial"/>
          <w:sz w:val="22"/>
          <w:szCs w:val="22"/>
        </w:rPr>
        <w:t>,</w:t>
      </w:r>
      <w:r w:rsidR="00B516EE" w:rsidRPr="00B72C5A">
        <w:rPr>
          <w:rFonts w:cs="Arial"/>
          <w:sz w:val="22"/>
          <w:szCs w:val="22"/>
        </w:rPr>
        <w:t xml:space="preserve"> which is reducing the cross subsidy of NESCO. </w:t>
      </w:r>
      <w:r w:rsidR="006136D2" w:rsidRPr="00B72C5A">
        <w:rPr>
          <w:rFonts w:cs="Arial"/>
          <w:sz w:val="22"/>
          <w:szCs w:val="22"/>
        </w:rPr>
        <w:t>Further EHT consumers like, M/s JSL, M/s TISCO Bamnipal, M/s TISCO Joda</w:t>
      </w:r>
      <w:r w:rsidR="009C414F" w:rsidRPr="00B72C5A">
        <w:rPr>
          <w:rFonts w:cs="Arial"/>
          <w:sz w:val="22"/>
          <w:szCs w:val="22"/>
        </w:rPr>
        <w:t>, M/s FACOR</w:t>
      </w:r>
      <w:r w:rsidR="006136D2" w:rsidRPr="00B72C5A">
        <w:rPr>
          <w:rFonts w:cs="Arial"/>
          <w:sz w:val="22"/>
          <w:szCs w:val="22"/>
        </w:rPr>
        <w:t xml:space="preserve"> and M/s Rohit Ferrotech has been allowed to draw power through open access. </w:t>
      </w:r>
      <w:r w:rsidR="009C414F" w:rsidRPr="00B72C5A">
        <w:rPr>
          <w:rFonts w:cs="Arial"/>
          <w:sz w:val="22"/>
          <w:szCs w:val="22"/>
        </w:rPr>
        <w:t>Due to industrial recession EHT consumers like M/s Strok Ferro, M/s Misrilal Mines, M/s IMTC, M/s Beekay Steels are about to close down their unit and presently availing light load only. There will be a reduction of load o</w:t>
      </w:r>
      <w:r>
        <w:rPr>
          <w:rFonts w:cs="Arial"/>
          <w:sz w:val="22"/>
          <w:szCs w:val="22"/>
        </w:rPr>
        <w:t>f 20 MVA by M/s Rohit Ferrotech since applied. However, 5</w:t>
      </w:r>
      <w:r w:rsidR="009C414F" w:rsidRPr="00B72C5A">
        <w:rPr>
          <w:rFonts w:cs="Arial"/>
          <w:sz w:val="22"/>
          <w:szCs w:val="22"/>
        </w:rPr>
        <w:t>% growth in Traction Consumption, M/s BRPL, M/s Maithan, M/s Dhamra Port is also considered in the projection. Further</w:t>
      </w:r>
      <w:r>
        <w:rPr>
          <w:rFonts w:cs="Arial"/>
          <w:sz w:val="22"/>
          <w:szCs w:val="22"/>
        </w:rPr>
        <w:t>,</w:t>
      </w:r>
      <w:r w:rsidR="009C414F" w:rsidRPr="00B72C5A">
        <w:rPr>
          <w:rFonts w:cs="Arial"/>
          <w:sz w:val="22"/>
          <w:szCs w:val="22"/>
        </w:rPr>
        <w:t xml:space="preserve"> in case of M/s BAL there shall be additional </w:t>
      </w:r>
      <w:r w:rsidR="009C414F" w:rsidRPr="00B72C5A">
        <w:rPr>
          <w:rFonts w:cs="Arial"/>
          <w:sz w:val="22"/>
          <w:szCs w:val="22"/>
        </w:rPr>
        <w:lastRenderedPageBreak/>
        <w:t xml:space="preserve">consumption of 3.5 MU per month which is considered in the projection due to the future load enhancement. </w:t>
      </w:r>
    </w:p>
    <w:p w:rsidR="00B516EE" w:rsidRPr="00B72C5A" w:rsidRDefault="00B516EE" w:rsidP="00B516EE">
      <w:pPr>
        <w:pStyle w:val="BodyText2"/>
        <w:spacing w:line="360" w:lineRule="auto"/>
        <w:jc w:val="both"/>
        <w:rPr>
          <w:rFonts w:cs="Arial"/>
          <w:sz w:val="22"/>
          <w:szCs w:val="22"/>
        </w:rPr>
      </w:pPr>
      <w:r w:rsidRPr="00B72C5A">
        <w:rPr>
          <w:rFonts w:cs="Arial"/>
          <w:sz w:val="22"/>
          <w:szCs w:val="22"/>
        </w:rPr>
        <w:t>The summary of the sales for all consumer categories has been shown in table below.</w:t>
      </w:r>
    </w:p>
    <w:p w:rsidR="00B516EE" w:rsidRPr="00B72C5A" w:rsidRDefault="00B516EE" w:rsidP="00B72C5A">
      <w:pPr>
        <w:spacing w:line="360" w:lineRule="auto"/>
        <w:ind w:left="7920" w:firstLine="720"/>
        <w:rPr>
          <w:rFonts w:ascii="Arial" w:hAnsi="Arial" w:cs="Arial"/>
          <w:b/>
          <w:sz w:val="22"/>
          <w:szCs w:val="22"/>
        </w:rPr>
      </w:pPr>
      <w:r w:rsidRPr="00B72C5A">
        <w:rPr>
          <w:rFonts w:ascii="Arial" w:hAnsi="Arial" w:cs="Arial"/>
          <w:b/>
          <w:sz w:val="22"/>
          <w:szCs w:val="22"/>
        </w:rPr>
        <w:t>MU</w:t>
      </w:r>
    </w:p>
    <w:tbl>
      <w:tblPr>
        <w:tblW w:w="9107" w:type="dxa"/>
        <w:tblInd w:w="98" w:type="dxa"/>
        <w:tblLook w:val="04A0"/>
      </w:tblPr>
      <w:tblGrid>
        <w:gridCol w:w="2987"/>
        <w:gridCol w:w="1980"/>
        <w:gridCol w:w="2070"/>
        <w:gridCol w:w="2070"/>
      </w:tblGrid>
      <w:tr w:rsidR="00B516EE" w:rsidRPr="00B72C5A" w:rsidTr="00B72C5A">
        <w:trPr>
          <w:trHeight w:val="645"/>
        </w:trPr>
        <w:tc>
          <w:tcPr>
            <w:tcW w:w="2987" w:type="dxa"/>
            <w:tcBorders>
              <w:top w:val="single" w:sz="8" w:space="0" w:color="auto"/>
              <w:left w:val="single" w:sz="8" w:space="0" w:color="auto"/>
              <w:bottom w:val="single" w:sz="8" w:space="0" w:color="auto"/>
              <w:right w:val="single" w:sz="8" w:space="0" w:color="auto"/>
            </w:tcBorders>
            <w:shd w:val="clear" w:color="000000" w:fill="FFCC99"/>
            <w:noWrap/>
            <w:vAlign w:val="center"/>
            <w:hideMark/>
          </w:tcPr>
          <w:p w:rsidR="00B516EE" w:rsidRPr="00B72C5A" w:rsidRDefault="00B516EE" w:rsidP="00AE0BAB">
            <w:pPr>
              <w:jc w:val="center"/>
              <w:rPr>
                <w:rFonts w:ascii="Arial" w:hAnsi="Arial" w:cs="Arial"/>
                <w:b/>
                <w:bCs/>
                <w:sz w:val="22"/>
                <w:szCs w:val="22"/>
              </w:rPr>
            </w:pPr>
            <w:r w:rsidRPr="00B72C5A">
              <w:rPr>
                <w:rFonts w:ascii="Arial" w:hAnsi="Arial" w:cs="Arial"/>
                <w:b/>
                <w:bCs/>
                <w:sz w:val="22"/>
                <w:szCs w:val="22"/>
              </w:rPr>
              <w:t>Sales</w:t>
            </w:r>
          </w:p>
        </w:tc>
        <w:tc>
          <w:tcPr>
            <w:tcW w:w="1980" w:type="dxa"/>
            <w:tcBorders>
              <w:top w:val="single" w:sz="8" w:space="0" w:color="auto"/>
              <w:left w:val="nil"/>
              <w:bottom w:val="single" w:sz="8" w:space="0" w:color="auto"/>
              <w:right w:val="single" w:sz="8" w:space="0" w:color="auto"/>
            </w:tcBorders>
            <w:shd w:val="clear" w:color="000000" w:fill="FFCC99"/>
            <w:noWrap/>
            <w:vAlign w:val="center"/>
            <w:hideMark/>
          </w:tcPr>
          <w:p w:rsidR="00B516EE" w:rsidRPr="00B72C5A" w:rsidRDefault="00B516EE" w:rsidP="00AE0BAB">
            <w:pPr>
              <w:jc w:val="center"/>
              <w:rPr>
                <w:rFonts w:ascii="Arial" w:hAnsi="Arial" w:cs="Arial"/>
                <w:b/>
                <w:bCs/>
                <w:sz w:val="22"/>
                <w:szCs w:val="22"/>
              </w:rPr>
            </w:pPr>
            <w:r w:rsidRPr="00B72C5A">
              <w:rPr>
                <w:rFonts w:ascii="Arial" w:hAnsi="Arial" w:cs="Arial"/>
                <w:b/>
                <w:bCs/>
                <w:sz w:val="22"/>
                <w:szCs w:val="22"/>
              </w:rPr>
              <w:t>FY 2013-14</w:t>
            </w:r>
          </w:p>
        </w:tc>
        <w:tc>
          <w:tcPr>
            <w:tcW w:w="2070" w:type="dxa"/>
            <w:tcBorders>
              <w:top w:val="single" w:sz="8" w:space="0" w:color="auto"/>
              <w:left w:val="nil"/>
              <w:bottom w:val="single" w:sz="8" w:space="0" w:color="auto"/>
              <w:right w:val="single" w:sz="8" w:space="0" w:color="auto"/>
            </w:tcBorders>
            <w:shd w:val="clear" w:color="000000" w:fill="FFCC99"/>
            <w:noWrap/>
            <w:vAlign w:val="center"/>
            <w:hideMark/>
          </w:tcPr>
          <w:p w:rsidR="00B516EE" w:rsidRPr="00B72C5A" w:rsidRDefault="00B516EE" w:rsidP="00AE0BAB">
            <w:pPr>
              <w:jc w:val="center"/>
              <w:rPr>
                <w:rFonts w:ascii="Arial" w:hAnsi="Arial" w:cs="Arial"/>
                <w:b/>
                <w:bCs/>
                <w:sz w:val="22"/>
                <w:szCs w:val="22"/>
              </w:rPr>
            </w:pPr>
            <w:r w:rsidRPr="00B72C5A">
              <w:rPr>
                <w:rFonts w:ascii="Arial" w:hAnsi="Arial" w:cs="Arial"/>
                <w:b/>
                <w:bCs/>
                <w:sz w:val="22"/>
                <w:szCs w:val="22"/>
              </w:rPr>
              <w:t>FY 2014-15</w:t>
            </w:r>
          </w:p>
        </w:tc>
        <w:tc>
          <w:tcPr>
            <w:tcW w:w="2070" w:type="dxa"/>
            <w:tcBorders>
              <w:top w:val="single" w:sz="8" w:space="0" w:color="auto"/>
              <w:left w:val="nil"/>
              <w:bottom w:val="single" w:sz="8" w:space="0" w:color="auto"/>
              <w:right w:val="single" w:sz="8" w:space="0" w:color="auto"/>
            </w:tcBorders>
            <w:shd w:val="clear" w:color="000000" w:fill="FFCC99"/>
            <w:vAlign w:val="center"/>
            <w:hideMark/>
          </w:tcPr>
          <w:p w:rsidR="00B516EE" w:rsidRPr="00B72C5A" w:rsidRDefault="00B516EE" w:rsidP="00AE0BAB">
            <w:pPr>
              <w:jc w:val="center"/>
              <w:rPr>
                <w:rFonts w:ascii="Arial" w:hAnsi="Arial" w:cs="Arial"/>
                <w:b/>
                <w:bCs/>
                <w:sz w:val="22"/>
                <w:szCs w:val="22"/>
              </w:rPr>
            </w:pPr>
            <w:r w:rsidRPr="00B72C5A">
              <w:rPr>
                <w:rFonts w:ascii="Arial" w:hAnsi="Arial" w:cs="Arial"/>
                <w:b/>
                <w:bCs/>
                <w:sz w:val="22"/>
                <w:szCs w:val="22"/>
              </w:rPr>
              <w:t>FY 2015-16</w:t>
            </w:r>
          </w:p>
        </w:tc>
      </w:tr>
      <w:tr w:rsidR="00B516EE" w:rsidRPr="00B72C5A" w:rsidTr="00B72C5A">
        <w:trPr>
          <w:trHeight w:val="385"/>
        </w:trPr>
        <w:tc>
          <w:tcPr>
            <w:tcW w:w="2987" w:type="dxa"/>
            <w:tcBorders>
              <w:top w:val="nil"/>
              <w:left w:val="single" w:sz="8" w:space="0" w:color="auto"/>
              <w:bottom w:val="single" w:sz="8" w:space="0" w:color="auto"/>
              <w:right w:val="single" w:sz="8" w:space="0" w:color="auto"/>
            </w:tcBorders>
            <w:shd w:val="clear" w:color="auto" w:fill="auto"/>
            <w:noWrap/>
            <w:vAlign w:val="bottom"/>
            <w:hideMark/>
          </w:tcPr>
          <w:p w:rsidR="00B516EE" w:rsidRPr="00B72C5A" w:rsidRDefault="00B516EE" w:rsidP="00AE0BAB">
            <w:pPr>
              <w:rPr>
                <w:rFonts w:ascii="Arial" w:hAnsi="Arial" w:cs="Arial"/>
                <w:sz w:val="22"/>
                <w:szCs w:val="22"/>
              </w:rPr>
            </w:pPr>
            <w:r w:rsidRPr="00B72C5A">
              <w:rPr>
                <w:rFonts w:ascii="Arial" w:hAnsi="Arial" w:cs="Arial"/>
                <w:sz w:val="22"/>
                <w:szCs w:val="22"/>
              </w:rPr>
              <w:t>LT</w:t>
            </w:r>
          </w:p>
        </w:tc>
        <w:tc>
          <w:tcPr>
            <w:tcW w:w="1980" w:type="dxa"/>
            <w:tcBorders>
              <w:top w:val="nil"/>
              <w:left w:val="nil"/>
              <w:bottom w:val="single" w:sz="8" w:space="0" w:color="auto"/>
              <w:right w:val="single" w:sz="8" w:space="0" w:color="auto"/>
            </w:tcBorders>
            <w:shd w:val="clear" w:color="auto" w:fill="auto"/>
            <w:noWrap/>
            <w:vAlign w:val="bottom"/>
            <w:hideMark/>
          </w:tcPr>
          <w:p w:rsidR="00B516EE" w:rsidRPr="00B72C5A" w:rsidRDefault="00B516EE" w:rsidP="00AE0BAB">
            <w:pPr>
              <w:jc w:val="right"/>
              <w:rPr>
                <w:rFonts w:ascii="Arial" w:hAnsi="Arial" w:cs="Arial"/>
                <w:sz w:val="22"/>
                <w:szCs w:val="22"/>
              </w:rPr>
            </w:pPr>
            <w:r w:rsidRPr="00B72C5A">
              <w:rPr>
                <w:rFonts w:ascii="Arial" w:hAnsi="Arial" w:cs="Arial"/>
                <w:sz w:val="22"/>
                <w:szCs w:val="22"/>
              </w:rPr>
              <w:t>1364.83</w:t>
            </w:r>
          </w:p>
        </w:tc>
        <w:tc>
          <w:tcPr>
            <w:tcW w:w="2070" w:type="dxa"/>
            <w:tcBorders>
              <w:top w:val="nil"/>
              <w:left w:val="nil"/>
              <w:bottom w:val="single" w:sz="8" w:space="0" w:color="auto"/>
              <w:right w:val="single" w:sz="8" w:space="0" w:color="auto"/>
            </w:tcBorders>
            <w:shd w:val="clear" w:color="auto" w:fill="auto"/>
            <w:noWrap/>
            <w:vAlign w:val="bottom"/>
            <w:hideMark/>
          </w:tcPr>
          <w:p w:rsidR="00B516EE" w:rsidRPr="00B72C5A" w:rsidRDefault="00B516EE" w:rsidP="00AE0BAB">
            <w:pPr>
              <w:jc w:val="right"/>
              <w:rPr>
                <w:rFonts w:ascii="Arial" w:hAnsi="Arial" w:cs="Arial"/>
                <w:sz w:val="22"/>
                <w:szCs w:val="22"/>
              </w:rPr>
            </w:pPr>
            <w:r w:rsidRPr="00B72C5A">
              <w:rPr>
                <w:rFonts w:ascii="Arial" w:hAnsi="Arial" w:cs="Arial"/>
                <w:sz w:val="22"/>
                <w:szCs w:val="22"/>
              </w:rPr>
              <w:t>1708.75</w:t>
            </w:r>
          </w:p>
        </w:tc>
        <w:tc>
          <w:tcPr>
            <w:tcW w:w="2070" w:type="dxa"/>
            <w:tcBorders>
              <w:top w:val="nil"/>
              <w:left w:val="nil"/>
              <w:bottom w:val="single" w:sz="8" w:space="0" w:color="auto"/>
              <w:right w:val="single" w:sz="8" w:space="0" w:color="auto"/>
            </w:tcBorders>
            <w:shd w:val="clear" w:color="auto" w:fill="auto"/>
            <w:noWrap/>
            <w:vAlign w:val="bottom"/>
            <w:hideMark/>
          </w:tcPr>
          <w:p w:rsidR="00B516EE" w:rsidRPr="00B72C5A" w:rsidRDefault="00B516EE" w:rsidP="00AE0BAB">
            <w:pPr>
              <w:jc w:val="right"/>
              <w:rPr>
                <w:rFonts w:ascii="Arial" w:hAnsi="Arial" w:cs="Arial"/>
                <w:sz w:val="22"/>
                <w:szCs w:val="22"/>
              </w:rPr>
            </w:pPr>
            <w:r w:rsidRPr="00B72C5A">
              <w:rPr>
                <w:rFonts w:ascii="Arial" w:hAnsi="Arial" w:cs="Arial"/>
                <w:sz w:val="22"/>
                <w:szCs w:val="22"/>
              </w:rPr>
              <w:t>1960.61</w:t>
            </w:r>
          </w:p>
        </w:tc>
      </w:tr>
      <w:tr w:rsidR="00B516EE" w:rsidRPr="00B72C5A" w:rsidTr="00B72C5A">
        <w:trPr>
          <w:trHeight w:val="277"/>
        </w:trPr>
        <w:tc>
          <w:tcPr>
            <w:tcW w:w="2987" w:type="dxa"/>
            <w:tcBorders>
              <w:top w:val="nil"/>
              <w:left w:val="single" w:sz="8" w:space="0" w:color="auto"/>
              <w:bottom w:val="single" w:sz="8" w:space="0" w:color="auto"/>
              <w:right w:val="single" w:sz="8" w:space="0" w:color="auto"/>
            </w:tcBorders>
            <w:shd w:val="clear" w:color="auto" w:fill="auto"/>
            <w:noWrap/>
            <w:vAlign w:val="bottom"/>
            <w:hideMark/>
          </w:tcPr>
          <w:p w:rsidR="00B516EE" w:rsidRPr="00B72C5A" w:rsidRDefault="00B516EE" w:rsidP="00AE0BAB">
            <w:pPr>
              <w:rPr>
                <w:rFonts w:ascii="Arial" w:hAnsi="Arial" w:cs="Arial"/>
                <w:sz w:val="22"/>
                <w:szCs w:val="22"/>
              </w:rPr>
            </w:pPr>
            <w:r w:rsidRPr="00B72C5A">
              <w:rPr>
                <w:rFonts w:ascii="Arial" w:hAnsi="Arial" w:cs="Arial"/>
                <w:sz w:val="22"/>
                <w:szCs w:val="22"/>
              </w:rPr>
              <w:t>HT</w:t>
            </w:r>
          </w:p>
        </w:tc>
        <w:tc>
          <w:tcPr>
            <w:tcW w:w="1980" w:type="dxa"/>
            <w:tcBorders>
              <w:top w:val="nil"/>
              <w:left w:val="nil"/>
              <w:bottom w:val="single" w:sz="8" w:space="0" w:color="auto"/>
              <w:right w:val="single" w:sz="8" w:space="0" w:color="auto"/>
            </w:tcBorders>
            <w:shd w:val="clear" w:color="auto" w:fill="auto"/>
            <w:noWrap/>
            <w:vAlign w:val="bottom"/>
            <w:hideMark/>
          </w:tcPr>
          <w:p w:rsidR="00B516EE" w:rsidRPr="00B72C5A" w:rsidRDefault="00B516EE" w:rsidP="00AE0BAB">
            <w:pPr>
              <w:jc w:val="right"/>
              <w:rPr>
                <w:rFonts w:ascii="Arial" w:hAnsi="Arial" w:cs="Arial"/>
                <w:sz w:val="22"/>
                <w:szCs w:val="22"/>
              </w:rPr>
            </w:pPr>
            <w:r w:rsidRPr="00B72C5A">
              <w:rPr>
                <w:rFonts w:ascii="Arial" w:hAnsi="Arial" w:cs="Arial"/>
                <w:sz w:val="22"/>
                <w:szCs w:val="22"/>
              </w:rPr>
              <w:t>440.54</w:t>
            </w:r>
          </w:p>
        </w:tc>
        <w:tc>
          <w:tcPr>
            <w:tcW w:w="2070" w:type="dxa"/>
            <w:tcBorders>
              <w:top w:val="nil"/>
              <w:left w:val="nil"/>
              <w:bottom w:val="single" w:sz="8" w:space="0" w:color="auto"/>
              <w:right w:val="single" w:sz="8" w:space="0" w:color="auto"/>
            </w:tcBorders>
            <w:shd w:val="clear" w:color="auto" w:fill="auto"/>
            <w:noWrap/>
            <w:vAlign w:val="bottom"/>
            <w:hideMark/>
          </w:tcPr>
          <w:p w:rsidR="00B516EE" w:rsidRPr="00B72C5A" w:rsidRDefault="00B516EE" w:rsidP="00AE0BAB">
            <w:pPr>
              <w:jc w:val="right"/>
              <w:rPr>
                <w:rFonts w:ascii="Arial" w:hAnsi="Arial" w:cs="Arial"/>
                <w:sz w:val="22"/>
                <w:szCs w:val="22"/>
              </w:rPr>
            </w:pPr>
            <w:r w:rsidRPr="00B72C5A">
              <w:rPr>
                <w:rFonts w:ascii="Arial" w:hAnsi="Arial" w:cs="Arial"/>
                <w:sz w:val="22"/>
                <w:szCs w:val="22"/>
              </w:rPr>
              <w:t>388.10</w:t>
            </w:r>
          </w:p>
        </w:tc>
        <w:tc>
          <w:tcPr>
            <w:tcW w:w="2070" w:type="dxa"/>
            <w:tcBorders>
              <w:top w:val="nil"/>
              <w:left w:val="nil"/>
              <w:bottom w:val="single" w:sz="8" w:space="0" w:color="auto"/>
              <w:right w:val="single" w:sz="8" w:space="0" w:color="auto"/>
            </w:tcBorders>
            <w:shd w:val="clear" w:color="auto" w:fill="auto"/>
            <w:noWrap/>
            <w:vAlign w:val="bottom"/>
            <w:hideMark/>
          </w:tcPr>
          <w:p w:rsidR="00B516EE" w:rsidRPr="00B72C5A" w:rsidRDefault="00B516EE" w:rsidP="00AE0BAB">
            <w:pPr>
              <w:jc w:val="right"/>
              <w:rPr>
                <w:rFonts w:ascii="Arial" w:hAnsi="Arial" w:cs="Arial"/>
                <w:sz w:val="22"/>
                <w:szCs w:val="22"/>
              </w:rPr>
            </w:pPr>
            <w:r w:rsidRPr="00B72C5A">
              <w:rPr>
                <w:rFonts w:ascii="Arial" w:hAnsi="Arial" w:cs="Arial"/>
                <w:sz w:val="22"/>
                <w:szCs w:val="22"/>
              </w:rPr>
              <w:t>390.72</w:t>
            </w:r>
          </w:p>
        </w:tc>
      </w:tr>
      <w:tr w:rsidR="00B516EE" w:rsidRPr="00B72C5A" w:rsidTr="00B72C5A">
        <w:trPr>
          <w:trHeight w:val="330"/>
        </w:trPr>
        <w:tc>
          <w:tcPr>
            <w:tcW w:w="2987" w:type="dxa"/>
            <w:tcBorders>
              <w:top w:val="nil"/>
              <w:left w:val="single" w:sz="8" w:space="0" w:color="auto"/>
              <w:bottom w:val="single" w:sz="8" w:space="0" w:color="auto"/>
              <w:right w:val="single" w:sz="8" w:space="0" w:color="auto"/>
            </w:tcBorders>
            <w:shd w:val="clear" w:color="auto" w:fill="auto"/>
            <w:noWrap/>
            <w:vAlign w:val="bottom"/>
            <w:hideMark/>
          </w:tcPr>
          <w:p w:rsidR="00B516EE" w:rsidRPr="00B72C5A" w:rsidRDefault="00B516EE" w:rsidP="00AE0BAB">
            <w:pPr>
              <w:rPr>
                <w:rFonts w:ascii="Arial" w:hAnsi="Arial" w:cs="Arial"/>
                <w:sz w:val="22"/>
                <w:szCs w:val="22"/>
              </w:rPr>
            </w:pPr>
            <w:r w:rsidRPr="00B72C5A">
              <w:rPr>
                <w:rFonts w:ascii="Arial" w:hAnsi="Arial" w:cs="Arial"/>
                <w:sz w:val="22"/>
                <w:szCs w:val="22"/>
              </w:rPr>
              <w:t>EHT</w:t>
            </w:r>
          </w:p>
        </w:tc>
        <w:tc>
          <w:tcPr>
            <w:tcW w:w="1980" w:type="dxa"/>
            <w:tcBorders>
              <w:top w:val="nil"/>
              <w:left w:val="nil"/>
              <w:bottom w:val="single" w:sz="8" w:space="0" w:color="auto"/>
              <w:right w:val="single" w:sz="8" w:space="0" w:color="auto"/>
            </w:tcBorders>
            <w:shd w:val="clear" w:color="auto" w:fill="auto"/>
            <w:noWrap/>
            <w:vAlign w:val="bottom"/>
            <w:hideMark/>
          </w:tcPr>
          <w:p w:rsidR="00B516EE" w:rsidRPr="00B72C5A" w:rsidRDefault="00B516EE" w:rsidP="00AE0BAB">
            <w:pPr>
              <w:jc w:val="right"/>
              <w:rPr>
                <w:rFonts w:ascii="Arial" w:hAnsi="Arial" w:cs="Arial"/>
                <w:sz w:val="22"/>
                <w:szCs w:val="22"/>
              </w:rPr>
            </w:pPr>
            <w:r w:rsidRPr="00B72C5A">
              <w:rPr>
                <w:rFonts w:ascii="Arial" w:hAnsi="Arial" w:cs="Arial"/>
                <w:sz w:val="22"/>
                <w:szCs w:val="22"/>
              </w:rPr>
              <w:t>1532.46</w:t>
            </w:r>
          </w:p>
        </w:tc>
        <w:tc>
          <w:tcPr>
            <w:tcW w:w="2070" w:type="dxa"/>
            <w:tcBorders>
              <w:top w:val="nil"/>
              <w:left w:val="nil"/>
              <w:bottom w:val="single" w:sz="8" w:space="0" w:color="auto"/>
              <w:right w:val="single" w:sz="8" w:space="0" w:color="auto"/>
            </w:tcBorders>
            <w:shd w:val="clear" w:color="auto" w:fill="auto"/>
            <w:noWrap/>
            <w:vAlign w:val="bottom"/>
            <w:hideMark/>
          </w:tcPr>
          <w:p w:rsidR="00B516EE" w:rsidRPr="00B72C5A" w:rsidRDefault="00B516EE" w:rsidP="00AE0BAB">
            <w:pPr>
              <w:jc w:val="right"/>
              <w:rPr>
                <w:rFonts w:ascii="Arial" w:hAnsi="Arial" w:cs="Arial"/>
                <w:sz w:val="22"/>
                <w:szCs w:val="22"/>
              </w:rPr>
            </w:pPr>
            <w:r w:rsidRPr="00B72C5A">
              <w:rPr>
                <w:rFonts w:ascii="Arial" w:hAnsi="Arial" w:cs="Arial"/>
                <w:sz w:val="22"/>
                <w:szCs w:val="22"/>
              </w:rPr>
              <w:t>1509.95</w:t>
            </w:r>
          </w:p>
        </w:tc>
        <w:tc>
          <w:tcPr>
            <w:tcW w:w="2070" w:type="dxa"/>
            <w:tcBorders>
              <w:top w:val="nil"/>
              <w:left w:val="nil"/>
              <w:bottom w:val="single" w:sz="8" w:space="0" w:color="auto"/>
              <w:right w:val="single" w:sz="8" w:space="0" w:color="auto"/>
            </w:tcBorders>
            <w:shd w:val="clear" w:color="auto" w:fill="auto"/>
            <w:noWrap/>
            <w:vAlign w:val="bottom"/>
            <w:hideMark/>
          </w:tcPr>
          <w:p w:rsidR="00B516EE" w:rsidRPr="00B72C5A" w:rsidRDefault="00B516EE" w:rsidP="00AE0BAB">
            <w:pPr>
              <w:jc w:val="right"/>
              <w:rPr>
                <w:rFonts w:ascii="Arial" w:hAnsi="Arial" w:cs="Arial"/>
                <w:sz w:val="22"/>
                <w:szCs w:val="22"/>
              </w:rPr>
            </w:pPr>
            <w:r w:rsidRPr="00B72C5A">
              <w:rPr>
                <w:rFonts w:ascii="Arial" w:hAnsi="Arial" w:cs="Arial"/>
                <w:sz w:val="22"/>
                <w:szCs w:val="22"/>
              </w:rPr>
              <w:t>1534.97</w:t>
            </w:r>
          </w:p>
        </w:tc>
      </w:tr>
      <w:tr w:rsidR="00B516EE" w:rsidRPr="00B72C5A" w:rsidTr="00B72C5A">
        <w:trPr>
          <w:trHeight w:val="330"/>
        </w:trPr>
        <w:tc>
          <w:tcPr>
            <w:tcW w:w="2987" w:type="dxa"/>
            <w:tcBorders>
              <w:top w:val="nil"/>
              <w:left w:val="single" w:sz="8" w:space="0" w:color="auto"/>
              <w:bottom w:val="single" w:sz="8" w:space="0" w:color="auto"/>
              <w:right w:val="single" w:sz="8" w:space="0" w:color="auto"/>
            </w:tcBorders>
            <w:shd w:val="clear" w:color="auto" w:fill="auto"/>
            <w:noWrap/>
            <w:vAlign w:val="bottom"/>
            <w:hideMark/>
          </w:tcPr>
          <w:p w:rsidR="00B516EE" w:rsidRPr="00B72C5A" w:rsidRDefault="00B516EE" w:rsidP="00AE0BAB">
            <w:pPr>
              <w:rPr>
                <w:rFonts w:ascii="Arial" w:hAnsi="Arial" w:cs="Arial"/>
                <w:b/>
                <w:bCs/>
                <w:sz w:val="22"/>
                <w:szCs w:val="22"/>
              </w:rPr>
            </w:pPr>
            <w:r w:rsidRPr="00B72C5A">
              <w:rPr>
                <w:rFonts w:ascii="Arial" w:hAnsi="Arial" w:cs="Arial"/>
                <w:b/>
                <w:bCs/>
                <w:sz w:val="22"/>
                <w:szCs w:val="22"/>
              </w:rPr>
              <w:t>Total</w:t>
            </w:r>
          </w:p>
        </w:tc>
        <w:tc>
          <w:tcPr>
            <w:tcW w:w="1980" w:type="dxa"/>
            <w:tcBorders>
              <w:top w:val="nil"/>
              <w:left w:val="nil"/>
              <w:bottom w:val="single" w:sz="8" w:space="0" w:color="auto"/>
              <w:right w:val="single" w:sz="8" w:space="0" w:color="auto"/>
            </w:tcBorders>
            <w:shd w:val="clear" w:color="auto" w:fill="auto"/>
            <w:noWrap/>
            <w:vAlign w:val="bottom"/>
            <w:hideMark/>
          </w:tcPr>
          <w:p w:rsidR="00B516EE" w:rsidRPr="00B72C5A" w:rsidRDefault="00B516EE" w:rsidP="00AE0BAB">
            <w:pPr>
              <w:jc w:val="right"/>
              <w:rPr>
                <w:rFonts w:ascii="Arial" w:hAnsi="Arial" w:cs="Arial"/>
                <w:b/>
                <w:bCs/>
                <w:sz w:val="22"/>
                <w:szCs w:val="22"/>
              </w:rPr>
            </w:pPr>
            <w:r w:rsidRPr="00B72C5A">
              <w:rPr>
                <w:rFonts w:ascii="Arial" w:hAnsi="Arial" w:cs="Arial"/>
                <w:b/>
                <w:bCs/>
                <w:sz w:val="22"/>
                <w:szCs w:val="22"/>
              </w:rPr>
              <w:t>3337.83</w:t>
            </w:r>
          </w:p>
        </w:tc>
        <w:tc>
          <w:tcPr>
            <w:tcW w:w="2070" w:type="dxa"/>
            <w:tcBorders>
              <w:top w:val="nil"/>
              <w:left w:val="nil"/>
              <w:bottom w:val="single" w:sz="8" w:space="0" w:color="auto"/>
              <w:right w:val="single" w:sz="8" w:space="0" w:color="auto"/>
            </w:tcBorders>
            <w:shd w:val="clear" w:color="auto" w:fill="auto"/>
            <w:noWrap/>
            <w:vAlign w:val="bottom"/>
            <w:hideMark/>
          </w:tcPr>
          <w:p w:rsidR="00B516EE" w:rsidRPr="00B72C5A" w:rsidRDefault="00B516EE" w:rsidP="00AE0BAB">
            <w:pPr>
              <w:jc w:val="right"/>
              <w:rPr>
                <w:rFonts w:ascii="Arial" w:hAnsi="Arial" w:cs="Arial"/>
                <w:b/>
                <w:bCs/>
                <w:sz w:val="22"/>
                <w:szCs w:val="22"/>
              </w:rPr>
            </w:pPr>
            <w:r w:rsidRPr="00B72C5A">
              <w:rPr>
                <w:rFonts w:ascii="Arial" w:hAnsi="Arial" w:cs="Arial"/>
                <w:b/>
                <w:bCs/>
                <w:sz w:val="22"/>
                <w:szCs w:val="22"/>
              </w:rPr>
              <w:t>3606.80</w:t>
            </w:r>
          </w:p>
        </w:tc>
        <w:tc>
          <w:tcPr>
            <w:tcW w:w="2070" w:type="dxa"/>
            <w:tcBorders>
              <w:top w:val="nil"/>
              <w:left w:val="nil"/>
              <w:bottom w:val="single" w:sz="8" w:space="0" w:color="auto"/>
              <w:right w:val="single" w:sz="8" w:space="0" w:color="auto"/>
            </w:tcBorders>
            <w:shd w:val="clear" w:color="auto" w:fill="auto"/>
            <w:noWrap/>
            <w:vAlign w:val="bottom"/>
            <w:hideMark/>
          </w:tcPr>
          <w:p w:rsidR="00B516EE" w:rsidRPr="00B72C5A" w:rsidRDefault="00B516EE" w:rsidP="00AE0BAB">
            <w:pPr>
              <w:jc w:val="right"/>
              <w:rPr>
                <w:rFonts w:ascii="Arial" w:hAnsi="Arial" w:cs="Arial"/>
                <w:b/>
                <w:bCs/>
                <w:sz w:val="22"/>
                <w:szCs w:val="22"/>
              </w:rPr>
            </w:pPr>
            <w:r w:rsidRPr="00B72C5A">
              <w:rPr>
                <w:rFonts w:ascii="Arial" w:hAnsi="Arial" w:cs="Arial"/>
                <w:b/>
                <w:bCs/>
                <w:sz w:val="22"/>
                <w:szCs w:val="22"/>
              </w:rPr>
              <w:t>3886.30</w:t>
            </w:r>
          </w:p>
        </w:tc>
      </w:tr>
    </w:tbl>
    <w:p w:rsidR="00E61838" w:rsidRPr="003C5FF9" w:rsidRDefault="00E61838" w:rsidP="00E61838">
      <w:pPr>
        <w:pStyle w:val="Heading1"/>
        <w:spacing w:line="360" w:lineRule="auto"/>
        <w:jc w:val="both"/>
        <w:rPr>
          <w:i/>
          <w:sz w:val="22"/>
          <w:szCs w:val="22"/>
        </w:rPr>
      </w:pPr>
      <w:bookmarkStart w:id="5" w:name="_Toc404784097"/>
      <w:bookmarkStart w:id="6" w:name="_Toc404860957"/>
      <w:bookmarkStart w:id="7" w:name="_Toc404940134"/>
      <w:r w:rsidRPr="003C5FF9">
        <w:rPr>
          <w:i/>
          <w:sz w:val="22"/>
          <w:szCs w:val="22"/>
        </w:rPr>
        <w:t xml:space="preserve">It is impertinent to state that, in every </w:t>
      </w:r>
      <w:r w:rsidR="003C5FF9" w:rsidRPr="003C5FF9">
        <w:rPr>
          <w:i/>
          <w:sz w:val="22"/>
          <w:szCs w:val="22"/>
        </w:rPr>
        <w:t>T</w:t>
      </w:r>
      <w:r w:rsidRPr="003C5FF9">
        <w:rPr>
          <w:i/>
          <w:sz w:val="22"/>
          <w:szCs w:val="22"/>
        </w:rPr>
        <w:t xml:space="preserve">ariff </w:t>
      </w:r>
      <w:r w:rsidR="003C5FF9" w:rsidRPr="003C5FF9">
        <w:rPr>
          <w:i/>
          <w:sz w:val="22"/>
          <w:szCs w:val="22"/>
        </w:rPr>
        <w:t>Order, Hon’ble C</w:t>
      </w:r>
      <w:r w:rsidRPr="003C5FF9">
        <w:rPr>
          <w:i/>
          <w:sz w:val="22"/>
          <w:szCs w:val="22"/>
        </w:rPr>
        <w:t xml:space="preserve">ommission </w:t>
      </w:r>
      <w:r w:rsidR="00056F54" w:rsidRPr="003C5FF9">
        <w:rPr>
          <w:i/>
          <w:sz w:val="22"/>
          <w:szCs w:val="22"/>
        </w:rPr>
        <w:t>approves</w:t>
      </w:r>
      <w:r w:rsidRPr="003C5FF9">
        <w:rPr>
          <w:i/>
          <w:sz w:val="22"/>
          <w:szCs w:val="22"/>
        </w:rPr>
        <w:t xml:space="preserve"> higher sales for HT and EHT consumers but </w:t>
      </w:r>
      <w:r w:rsidR="00056F54" w:rsidRPr="003C5FF9">
        <w:rPr>
          <w:i/>
          <w:sz w:val="22"/>
          <w:szCs w:val="22"/>
        </w:rPr>
        <w:t xml:space="preserve">in turn </w:t>
      </w:r>
      <w:r w:rsidRPr="003C5FF9">
        <w:rPr>
          <w:i/>
          <w:sz w:val="22"/>
          <w:szCs w:val="22"/>
        </w:rPr>
        <w:t>actual sales are much less than the approved sales</w:t>
      </w:r>
      <w:r w:rsidR="00056F54" w:rsidRPr="003C5FF9">
        <w:rPr>
          <w:i/>
          <w:sz w:val="22"/>
          <w:szCs w:val="22"/>
        </w:rPr>
        <w:t xml:space="preserve"> in each period. The summarized figure</w:t>
      </w:r>
      <w:r w:rsidR="003C5FF9">
        <w:rPr>
          <w:i/>
          <w:sz w:val="22"/>
          <w:szCs w:val="22"/>
        </w:rPr>
        <w:t>s</w:t>
      </w:r>
      <w:r w:rsidRPr="003C5FF9">
        <w:rPr>
          <w:i/>
          <w:sz w:val="22"/>
          <w:szCs w:val="22"/>
        </w:rPr>
        <w:t xml:space="preserve"> of approved </w:t>
      </w:r>
      <w:r w:rsidR="00056F54" w:rsidRPr="003C5FF9">
        <w:rPr>
          <w:i/>
          <w:sz w:val="22"/>
          <w:szCs w:val="22"/>
        </w:rPr>
        <w:t xml:space="preserve">vis-à-vis </w:t>
      </w:r>
      <w:r w:rsidRPr="003C5FF9">
        <w:rPr>
          <w:i/>
          <w:sz w:val="22"/>
          <w:szCs w:val="22"/>
        </w:rPr>
        <w:t xml:space="preserve">actual sales for HT and EHT consumers </w:t>
      </w:r>
      <w:r w:rsidR="003C5FF9">
        <w:rPr>
          <w:i/>
          <w:sz w:val="22"/>
          <w:szCs w:val="22"/>
        </w:rPr>
        <w:t xml:space="preserve">are </w:t>
      </w:r>
      <w:r w:rsidR="00056F54" w:rsidRPr="003C5FF9">
        <w:rPr>
          <w:i/>
          <w:sz w:val="22"/>
          <w:szCs w:val="22"/>
        </w:rPr>
        <w:t xml:space="preserve">tabulated </w:t>
      </w:r>
      <w:r w:rsidRPr="003C5FF9">
        <w:rPr>
          <w:i/>
          <w:sz w:val="22"/>
          <w:szCs w:val="22"/>
        </w:rPr>
        <w:t>below.</w:t>
      </w:r>
      <w:bookmarkEnd w:id="5"/>
      <w:bookmarkEnd w:id="6"/>
      <w:bookmarkEnd w:id="7"/>
    </w:p>
    <w:p w:rsidR="003D0EBB" w:rsidRPr="00B72C5A" w:rsidRDefault="003D0EBB" w:rsidP="00056F54">
      <w:pPr>
        <w:ind w:left="7920" w:firstLine="720"/>
        <w:rPr>
          <w:rFonts w:ascii="Arial" w:hAnsi="Arial" w:cs="Arial"/>
          <w:b/>
          <w:sz w:val="22"/>
          <w:szCs w:val="22"/>
        </w:rPr>
      </w:pPr>
    </w:p>
    <w:p w:rsidR="00056F54" w:rsidRPr="00B72C5A" w:rsidRDefault="00056F54" w:rsidP="00056F54">
      <w:pPr>
        <w:ind w:left="7920" w:firstLine="720"/>
        <w:rPr>
          <w:rFonts w:ascii="Arial" w:hAnsi="Arial" w:cs="Arial"/>
          <w:b/>
          <w:sz w:val="22"/>
          <w:szCs w:val="22"/>
        </w:rPr>
      </w:pPr>
      <w:r w:rsidRPr="00B72C5A">
        <w:rPr>
          <w:rFonts w:ascii="Arial" w:hAnsi="Arial" w:cs="Arial"/>
          <w:b/>
          <w:sz w:val="22"/>
          <w:szCs w:val="22"/>
        </w:rPr>
        <w:t>MU</w:t>
      </w:r>
    </w:p>
    <w:tbl>
      <w:tblP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8"/>
        <w:gridCol w:w="1015"/>
        <w:gridCol w:w="1093"/>
        <w:gridCol w:w="1116"/>
        <w:gridCol w:w="1093"/>
        <w:gridCol w:w="1116"/>
        <w:gridCol w:w="1093"/>
        <w:gridCol w:w="1116"/>
        <w:gridCol w:w="1151"/>
      </w:tblGrid>
      <w:tr w:rsidR="00056F54" w:rsidRPr="003D0EBB" w:rsidTr="003C5FF9">
        <w:trPr>
          <w:trHeight w:val="467"/>
        </w:trPr>
        <w:tc>
          <w:tcPr>
            <w:tcW w:w="738" w:type="dxa"/>
            <w:vAlign w:val="center"/>
          </w:tcPr>
          <w:p w:rsidR="00056F54" w:rsidRPr="00B72C5A" w:rsidRDefault="00056F54" w:rsidP="003D0EBB">
            <w:pPr>
              <w:jc w:val="center"/>
              <w:rPr>
                <w:rFonts w:ascii="Arial" w:hAnsi="Arial" w:cs="Arial"/>
                <w:sz w:val="22"/>
                <w:szCs w:val="22"/>
              </w:rPr>
            </w:pPr>
          </w:p>
        </w:tc>
        <w:tc>
          <w:tcPr>
            <w:tcW w:w="2108" w:type="dxa"/>
            <w:gridSpan w:val="2"/>
            <w:vAlign w:val="center"/>
          </w:tcPr>
          <w:p w:rsidR="00056F54" w:rsidRPr="00B72C5A" w:rsidRDefault="00056F54" w:rsidP="003D0EBB">
            <w:pPr>
              <w:jc w:val="center"/>
              <w:rPr>
                <w:rFonts w:ascii="Arial" w:hAnsi="Arial" w:cs="Arial"/>
                <w:sz w:val="22"/>
                <w:szCs w:val="22"/>
              </w:rPr>
            </w:pPr>
            <w:r w:rsidRPr="00B72C5A">
              <w:rPr>
                <w:rFonts w:ascii="Arial" w:hAnsi="Arial" w:cs="Arial"/>
                <w:sz w:val="22"/>
                <w:szCs w:val="22"/>
              </w:rPr>
              <w:t>FY 2011-12</w:t>
            </w:r>
          </w:p>
        </w:tc>
        <w:tc>
          <w:tcPr>
            <w:tcW w:w="2209" w:type="dxa"/>
            <w:gridSpan w:val="2"/>
            <w:vAlign w:val="center"/>
          </w:tcPr>
          <w:p w:rsidR="00056F54" w:rsidRPr="00B72C5A" w:rsidRDefault="00056F54" w:rsidP="003D0EBB">
            <w:pPr>
              <w:jc w:val="center"/>
              <w:rPr>
                <w:rFonts w:ascii="Arial" w:hAnsi="Arial" w:cs="Arial"/>
                <w:sz w:val="22"/>
                <w:szCs w:val="22"/>
              </w:rPr>
            </w:pPr>
            <w:r w:rsidRPr="00B72C5A">
              <w:rPr>
                <w:rFonts w:ascii="Arial" w:hAnsi="Arial" w:cs="Arial"/>
                <w:sz w:val="22"/>
                <w:szCs w:val="22"/>
              </w:rPr>
              <w:t>FY 2012-13</w:t>
            </w:r>
          </w:p>
        </w:tc>
        <w:tc>
          <w:tcPr>
            <w:tcW w:w="2209" w:type="dxa"/>
            <w:gridSpan w:val="2"/>
            <w:vAlign w:val="center"/>
          </w:tcPr>
          <w:p w:rsidR="00056F54" w:rsidRPr="00B72C5A" w:rsidRDefault="00056F54" w:rsidP="003D0EBB">
            <w:pPr>
              <w:jc w:val="center"/>
              <w:rPr>
                <w:rFonts w:ascii="Arial" w:hAnsi="Arial" w:cs="Arial"/>
                <w:sz w:val="22"/>
                <w:szCs w:val="22"/>
              </w:rPr>
            </w:pPr>
            <w:r w:rsidRPr="00B72C5A">
              <w:rPr>
                <w:rFonts w:ascii="Arial" w:hAnsi="Arial" w:cs="Arial"/>
                <w:sz w:val="22"/>
                <w:szCs w:val="22"/>
              </w:rPr>
              <w:t>FY 2013-14</w:t>
            </w:r>
          </w:p>
        </w:tc>
        <w:tc>
          <w:tcPr>
            <w:tcW w:w="2267" w:type="dxa"/>
            <w:gridSpan w:val="2"/>
            <w:vAlign w:val="center"/>
          </w:tcPr>
          <w:p w:rsidR="00056F54" w:rsidRPr="00B72C5A" w:rsidRDefault="00056F54" w:rsidP="003D0EBB">
            <w:pPr>
              <w:jc w:val="center"/>
              <w:rPr>
                <w:rFonts w:ascii="Arial" w:hAnsi="Arial" w:cs="Arial"/>
                <w:sz w:val="22"/>
                <w:szCs w:val="22"/>
              </w:rPr>
            </w:pPr>
            <w:r w:rsidRPr="00B72C5A">
              <w:rPr>
                <w:rFonts w:ascii="Arial" w:hAnsi="Arial" w:cs="Arial"/>
                <w:sz w:val="22"/>
                <w:szCs w:val="22"/>
              </w:rPr>
              <w:t>FY 2014-15</w:t>
            </w:r>
          </w:p>
        </w:tc>
      </w:tr>
      <w:tr w:rsidR="00056F54" w:rsidRPr="003D0EBB" w:rsidTr="003C5FF9">
        <w:tc>
          <w:tcPr>
            <w:tcW w:w="738" w:type="dxa"/>
            <w:vAlign w:val="center"/>
          </w:tcPr>
          <w:p w:rsidR="00056F54" w:rsidRPr="00B72C5A" w:rsidRDefault="00056F54" w:rsidP="003D0EBB">
            <w:pPr>
              <w:jc w:val="center"/>
              <w:rPr>
                <w:rFonts w:ascii="Arial" w:hAnsi="Arial" w:cs="Arial"/>
                <w:sz w:val="22"/>
                <w:szCs w:val="22"/>
              </w:rPr>
            </w:pPr>
          </w:p>
        </w:tc>
        <w:tc>
          <w:tcPr>
            <w:tcW w:w="1015" w:type="dxa"/>
            <w:vAlign w:val="center"/>
          </w:tcPr>
          <w:p w:rsidR="00056F54" w:rsidRPr="00B72C5A" w:rsidRDefault="00056F54" w:rsidP="003D0EBB">
            <w:pPr>
              <w:jc w:val="center"/>
              <w:rPr>
                <w:rFonts w:ascii="Arial" w:hAnsi="Arial" w:cs="Arial"/>
                <w:sz w:val="22"/>
                <w:szCs w:val="22"/>
              </w:rPr>
            </w:pPr>
            <w:r w:rsidRPr="00B72C5A">
              <w:rPr>
                <w:rFonts w:ascii="Arial" w:hAnsi="Arial" w:cs="Arial"/>
                <w:sz w:val="22"/>
                <w:szCs w:val="22"/>
              </w:rPr>
              <w:t>Approved</w:t>
            </w:r>
          </w:p>
        </w:tc>
        <w:tc>
          <w:tcPr>
            <w:tcW w:w="1093" w:type="dxa"/>
            <w:vAlign w:val="center"/>
          </w:tcPr>
          <w:p w:rsidR="00056F54" w:rsidRPr="00B72C5A" w:rsidRDefault="00056F54" w:rsidP="003D0EBB">
            <w:pPr>
              <w:jc w:val="center"/>
              <w:rPr>
                <w:rFonts w:ascii="Arial" w:hAnsi="Arial" w:cs="Arial"/>
                <w:sz w:val="22"/>
                <w:szCs w:val="22"/>
              </w:rPr>
            </w:pPr>
            <w:r w:rsidRPr="00B72C5A">
              <w:rPr>
                <w:rFonts w:ascii="Arial" w:hAnsi="Arial" w:cs="Arial"/>
                <w:sz w:val="22"/>
                <w:szCs w:val="22"/>
              </w:rPr>
              <w:t>Actual</w:t>
            </w:r>
          </w:p>
        </w:tc>
        <w:tc>
          <w:tcPr>
            <w:tcW w:w="1116" w:type="dxa"/>
            <w:vAlign w:val="center"/>
          </w:tcPr>
          <w:p w:rsidR="00056F54" w:rsidRPr="00B72C5A" w:rsidRDefault="00056F54" w:rsidP="003D0EBB">
            <w:pPr>
              <w:jc w:val="center"/>
              <w:rPr>
                <w:rFonts w:ascii="Arial" w:hAnsi="Arial" w:cs="Arial"/>
                <w:sz w:val="22"/>
                <w:szCs w:val="22"/>
              </w:rPr>
            </w:pPr>
            <w:r w:rsidRPr="00B72C5A">
              <w:rPr>
                <w:rFonts w:ascii="Arial" w:hAnsi="Arial" w:cs="Arial"/>
                <w:sz w:val="22"/>
                <w:szCs w:val="22"/>
              </w:rPr>
              <w:t>Approved</w:t>
            </w:r>
          </w:p>
        </w:tc>
        <w:tc>
          <w:tcPr>
            <w:tcW w:w="1093" w:type="dxa"/>
            <w:vAlign w:val="center"/>
          </w:tcPr>
          <w:p w:rsidR="00056F54" w:rsidRPr="00B72C5A" w:rsidRDefault="00056F54" w:rsidP="003D0EBB">
            <w:pPr>
              <w:jc w:val="center"/>
              <w:rPr>
                <w:rFonts w:ascii="Arial" w:hAnsi="Arial" w:cs="Arial"/>
                <w:sz w:val="22"/>
                <w:szCs w:val="22"/>
              </w:rPr>
            </w:pPr>
            <w:r w:rsidRPr="00B72C5A">
              <w:rPr>
                <w:rFonts w:ascii="Arial" w:hAnsi="Arial" w:cs="Arial"/>
                <w:sz w:val="22"/>
                <w:szCs w:val="22"/>
              </w:rPr>
              <w:t>Actual</w:t>
            </w:r>
          </w:p>
        </w:tc>
        <w:tc>
          <w:tcPr>
            <w:tcW w:w="1116" w:type="dxa"/>
            <w:vAlign w:val="center"/>
          </w:tcPr>
          <w:p w:rsidR="00056F54" w:rsidRPr="00B72C5A" w:rsidRDefault="00056F54" w:rsidP="003D0EBB">
            <w:pPr>
              <w:jc w:val="center"/>
              <w:rPr>
                <w:rFonts w:ascii="Arial" w:hAnsi="Arial" w:cs="Arial"/>
                <w:sz w:val="22"/>
                <w:szCs w:val="22"/>
              </w:rPr>
            </w:pPr>
            <w:r w:rsidRPr="00B72C5A">
              <w:rPr>
                <w:rFonts w:ascii="Arial" w:hAnsi="Arial" w:cs="Arial"/>
                <w:sz w:val="22"/>
                <w:szCs w:val="22"/>
              </w:rPr>
              <w:t>Approved</w:t>
            </w:r>
          </w:p>
        </w:tc>
        <w:tc>
          <w:tcPr>
            <w:tcW w:w="1093" w:type="dxa"/>
            <w:vAlign w:val="center"/>
          </w:tcPr>
          <w:p w:rsidR="00056F54" w:rsidRPr="00B72C5A" w:rsidRDefault="00056F54" w:rsidP="003D0EBB">
            <w:pPr>
              <w:jc w:val="center"/>
              <w:rPr>
                <w:rFonts w:ascii="Arial" w:hAnsi="Arial" w:cs="Arial"/>
                <w:sz w:val="22"/>
                <w:szCs w:val="22"/>
              </w:rPr>
            </w:pPr>
            <w:r w:rsidRPr="00B72C5A">
              <w:rPr>
                <w:rFonts w:ascii="Arial" w:hAnsi="Arial" w:cs="Arial"/>
                <w:sz w:val="22"/>
                <w:szCs w:val="22"/>
              </w:rPr>
              <w:t>Actual</w:t>
            </w:r>
          </w:p>
        </w:tc>
        <w:tc>
          <w:tcPr>
            <w:tcW w:w="1116" w:type="dxa"/>
            <w:vAlign w:val="center"/>
          </w:tcPr>
          <w:p w:rsidR="00056F54" w:rsidRPr="00B72C5A" w:rsidRDefault="00056F54" w:rsidP="003D0EBB">
            <w:pPr>
              <w:jc w:val="center"/>
              <w:rPr>
                <w:rFonts w:ascii="Arial" w:hAnsi="Arial" w:cs="Arial"/>
                <w:sz w:val="22"/>
                <w:szCs w:val="22"/>
              </w:rPr>
            </w:pPr>
            <w:r w:rsidRPr="00B72C5A">
              <w:rPr>
                <w:rFonts w:ascii="Arial" w:hAnsi="Arial" w:cs="Arial"/>
                <w:sz w:val="22"/>
                <w:szCs w:val="22"/>
              </w:rPr>
              <w:t>Approved</w:t>
            </w:r>
          </w:p>
        </w:tc>
        <w:tc>
          <w:tcPr>
            <w:tcW w:w="1151" w:type="dxa"/>
            <w:vAlign w:val="center"/>
          </w:tcPr>
          <w:p w:rsidR="00056F54" w:rsidRPr="00B72C5A" w:rsidRDefault="003D0EBB" w:rsidP="003D0EBB">
            <w:pPr>
              <w:jc w:val="center"/>
              <w:rPr>
                <w:rFonts w:ascii="Arial" w:hAnsi="Arial" w:cs="Arial"/>
                <w:sz w:val="22"/>
                <w:szCs w:val="22"/>
              </w:rPr>
            </w:pPr>
            <w:r w:rsidRPr="00B72C5A">
              <w:rPr>
                <w:rFonts w:ascii="Arial" w:hAnsi="Arial" w:cs="Arial"/>
                <w:sz w:val="22"/>
                <w:szCs w:val="22"/>
              </w:rPr>
              <w:t>Estimated</w:t>
            </w:r>
          </w:p>
        </w:tc>
      </w:tr>
      <w:tr w:rsidR="003D0EBB" w:rsidRPr="003D0EBB" w:rsidTr="003C5FF9">
        <w:trPr>
          <w:trHeight w:val="575"/>
        </w:trPr>
        <w:tc>
          <w:tcPr>
            <w:tcW w:w="738" w:type="dxa"/>
            <w:vAlign w:val="center"/>
          </w:tcPr>
          <w:p w:rsidR="003D0EBB" w:rsidRPr="00B72C5A" w:rsidRDefault="003D0EBB" w:rsidP="003D0EBB">
            <w:pPr>
              <w:jc w:val="center"/>
              <w:rPr>
                <w:rFonts w:ascii="Arial" w:hAnsi="Arial" w:cs="Arial"/>
                <w:sz w:val="22"/>
                <w:szCs w:val="22"/>
              </w:rPr>
            </w:pPr>
            <w:r w:rsidRPr="00B72C5A">
              <w:rPr>
                <w:rFonts w:ascii="Arial" w:hAnsi="Arial" w:cs="Arial"/>
                <w:sz w:val="22"/>
                <w:szCs w:val="22"/>
              </w:rPr>
              <w:t>HT</w:t>
            </w:r>
          </w:p>
        </w:tc>
        <w:tc>
          <w:tcPr>
            <w:tcW w:w="1015" w:type="dxa"/>
            <w:vAlign w:val="center"/>
          </w:tcPr>
          <w:p w:rsidR="003D0EBB" w:rsidRPr="00B72C5A" w:rsidRDefault="003C5FF9" w:rsidP="003D0EBB">
            <w:pPr>
              <w:jc w:val="center"/>
              <w:rPr>
                <w:rFonts w:ascii="Arial" w:hAnsi="Arial" w:cs="Arial"/>
                <w:sz w:val="22"/>
                <w:szCs w:val="22"/>
              </w:rPr>
            </w:pPr>
            <w:r>
              <w:rPr>
                <w:rFonts w:ascii="Arial" w:hAnsi="Arial" w:cs="Arial"/>
                <w:sz w:val="22"/>
                <w:szCs w:val="22"/>
              </w:rPr>
              <w:t>550.08</w:t>
            </w:r>
          </w:p>
        </w:tc>
        <w:tc>
          <w:tcPr>
            <w:tcW w:w="1093" w:type="dxa"/>
            <w:vAlign w:val="center"/>
          </w:tcPr>
          <w:p w:rsidR="003D0EBB" w:rsidRPr="00B72C5A" w:rsidRDefault="003D0EBB" w:rsidP="003D0EBB">
            <w:pPr>
              <w:jc w:val="center"/>
              <w:rPr>
                <w:rFonts w:ascii="Arial" w:hAnsi="Arial" w:cs="Arial"/>
                <w:sz w:val="22"/>
                <w:szCs w:val="22"/>
              </w:rPr>
            </w:pPr>
            <w:r w:rsidRPr="00B72C5A">
              <w:rPr>
                <w:rFonts w:ascii="Arial" w:hAnsi="Arial" w:cs="Arial"/>
                <w:sz w:val="22"/>
                <w:szCs w:val="22"/>
              </w:rPr>
              <w:t>467.752</w:t>
            </w:r>
          </w:p>
        </w:tc>
        <w:tc>
          <w:tcPr>
            <w:tcW w:w="1116" w:type="dxa"/>
            <w:vAlign w:val="center"/>
          </w:tcPr>
          <w:p w:rsidR="003D0EBB" w:rsidRPr="00B72C5A" w:rsidRDefault="003D0EBB" w:rsidP="003D0EBB">
            <w:pPr>
              <w:jc w:val="center"/>
              <w:rPr>
                <w:rFonts w:ascii="Arial" w:hAnsi="Arial" w:cs="Arial"/>
                <w:sz w:val="22"/>
                <w:szCs w:val="22"/>
              </w:rPr>
            </w:pPr>
            <w:r w:rsidRPr="00B72C5A">
              <w:rPr>
                <w:rFonts w:ascii="Arial" w:hAnsi="Arial" w:cs="Arial"/>
                <w:sz w:val="22"/>
                <w:szCs w:val="22"/>
              </w:rPr>
              <w:t>483.310</w:t>
            </w:r>
          </w:p>
        </w:tc>
        <w:tc>
          <w:tcPr>
            <w:tcW w:w="1093" w:type="dxa"/>
            <w:vAlign w:val="center"/>
          </w:tcPr>
          <w:p w:rsidR="003D0EBB" w:rsidRPr="00B72C5A" w:rsidRDefault="003D0EBB" w:rsidP="003D0EBB">
            <w:pPr>
              <w:jc w:val="center"/>
              <w:rPr>
                <w:rFonts w:ascii="Arial" w:hAnsi="Arial" w:cs="Arial"/>
                <w:sz w:val="22"/>
                <w:szCs w:val="22"/>
              </w:rPr>
            </w:pPr>
            <w:r w:rsidRPr="00B72C5A">
              <w:rPr>
                <w:rFonts w:ascii="Arial" w:hAnsi="Arial" w:cs="Arial"/>
                <w:sz w:val="22"/>
                <w:szCs w:val="22"/>
              </w:rPr>
              <w:t>452.375</w:t>
            </w:r>
          </w:p>
        </w:tc>
        <w:tc>
          <w:tcPr>
            <w:tcW w:w="1116" w:type="dxa"/>
            <w:vAlign w:val="center"/>
          </w:tcPr>
          <w:p w:rsidR="003D0EBB" w:rsidRPr="00B72C5A" w:rsidRDefault="003D0EBB" w:rsidP="003D0EBB">
            <w:pPr>
              <w:jc w:val="center"/>
              <w:rPr>
                <w:rFonts w:ascii="Arial" w:hAnsi="Arial" w:cs="Arial"/>
                <w:sz w:val="22"/>
                <w:szCs w:val="22"/>
              </w:rPr>
            </w:pPr>
            <w:r w:rsidRPr="00B72C5A">
              <w:rPr>
                <w:rFonts w:ascii="Arial" w:hAnsi="Arial" w:cs="Arial"/>
                <w:sz w:val="22"/>
                <w:szCs w:val="22"/>
              </w:rPr>
              <w:t>464.520</w:t>
            </w:r>
          </w:p>
        </w:tc>
        <w:tc>
          <w:tcPr>
            <w:tcW w:w="1093" w:type="dxa"/>
            <w:vAlign w:val="center"/>
          </w:tcPr>
          <w:p w:rsidR="003D0EBB" w:rsidRPr="00B72C5A" w:rsidRDefault="003D0EBB" w:rsidP="003D0EBB">
            <w:pPr>
              <w:jc w:val="center"/>
              <w:rPr>
                <w:rFonts w:ascii="Arial" w:hAnsi="Arial" w:cs="Arial"/>
                <w:sz w:val="22"/>
                <w:szCs w:val="22"/>
              </w:rPr>
            </w:pPr>
            <w:r w:rsidRPr="00B72C5A">
              <w:rPr>
                <w:rFonts w:ascii="Arial" w:hAnsi="Arial" w:cs="Arial"/>
                <w:sz w:val="22"/>
                <w:szCs w:val="22"/>
              </w:rPr>
              <w:t>440.540</w:t>
            </w:r>
          </w:p>
        </w:tc>
        <w:tc>
          <w:tcPr>
            <w:tcW w:w="1116" w:type="dxa"/>
            <w:vAlign w:val="center"/>
          </w:tcPr>
          <w:p w:rsidR="003D0EBB" w:rsidRPr="00B72C5A" w:rsidRDefault="003D0EBB" w:rsidP="003D0EBB">
            <w:pPr>
              <w:jc w:val="center"/>
              <w:rPr>
                <w:rFonts w:ascii="Arial" w:hAnsi="Arial" w:cs="Arial"/>
                <w:sz w:val="22"/>
                <w:szCs w:val="22"/>
              </w:rPr>
            </w:pPr>
            <w:r w:rsidRPr="00B72C5A">
              <w:rPr>
                <w:rFonts w:ascii="Arial" w:hAnsi="Arial" w:cs="Arial"/>
                <w:sz w:val="22"/>
                <w:szCs w:val="22"/>
              </w:rPr>
              <w:t>449.197</w:t>
            </w:r>
          </w:p>
        </w:tc>
        <w:tc>
          <w:tcPr>
            <w:tcW w:w="1151" w:type="dxa"/>
            <w:vAlign w:val="center"/>
          </w:tcPr>
          <w:p w:rsidR="003D0EBB" w:rsidRPr="00B72C5A" w:rsidRDefault="003D0EBB">
            <w:pPr>
              <w:jc w:val="right"/>
              <w:rPr>
                <w:rFonts w:ascii="Arial" w:hAnsi="Arial" w:cs="Arial"/>
                <w:bCs/>
                <w:sz w:val="22"/>
                <w:szCs w:val="22"/>
              </w:rPr>
            </w:pPr>
            <w:r w:rsidRPr="00B72C5A">
              <w:rPr>
                <w:rFonts w:ascii="Arial" w:hAnsi="Arial" w:cs="Arial"/>
                <w:bCs/>
                <w:sz w:val="22"/>
                <w:szCs w:val="22"/>
              </w:rPr>
              <w:t>388.099</w:t>
            </w:r>
          </w:p>
        </w:tc>
      </w:tr>
      <w:tr w:rsidR="003D0EBB" w:rsidTr="003C5FF9">
        <w:trPr>
          <w:trHeight w:val="539"/>
        </w:trPr>
        <w:tc>
          <w:tcPr>
            <w:tcW w:w="738" w:type="dxa"/>
            <w:vAlign w:val="center"/>
          </w:tcPr>
          <w:p w:rsidR="003D0EBB" w:rsidRPr="00B72C5A" w:rsidRDefault="003D0EBB" w:rsidP="003D0EBB">
            <w:pPr>
              <w:jc w:val="center"/>
              <w:rPr>
                <w:rFonts w:ascii="Arial" w:hAnsi="Arial" w:cs="Arial"/>
                <w:sz w:val="22"/>
                <w:szCs w:val="22"/>
              </w:rPr>
            </w:pPr>
            <w:r w:rsidRPr="00B72C5A">
              <w:rPr>
                <w:rFonts w:ascii="Arial" w:hAnsi="Arial" w:cs="Arial"/>
                <w:sz w:val="22"/>
                <w:szCs w:val="22"/>
              </w:rPr>
              <w:t>EHT</w:t>
            </w:r>
          </w:p>
        </w:tc>
        <w:tc>
          <w:tcPr>
            <w:tcW w:w="1015" w:type="dxa"/>
            <w:vAlign w:val="center"/>
          </w:tcPr>
          <w:p w:rsidR="003D0EBB" w:rsidRPr="00B72C5A" w:rsidRDefault="003D0EBB" w:rsidP="003C5FF9">
            <w:pPr>
              <w:jc w:val="center"/>
              <w:rPr>
                <w:rFonts w:ascii="Arial" w:hAnsi="Arial" w:cs="Arial"/>
                <w:sz w:val="22"/>
                <w:szCs w:val="22"/>
              </w:rPr>
            </w:pPr>
            <w:r w:rsidRPr="00B72C5A">
              <w:rPr>
                <w:rFonts w:ascii="Arial" w:hAnsi="Arial" w:cs="Arial"/>
                <w:sz w:val="22"/>
                <w:szCs w:val="22"/>
              </w:rPr>
              <w:t>1891.96</w:t>
            </w:r>
          </w:p>
        </w:tc>
        <w:tc>
          <w:tcPr>
            <w:tcW w:w="1093" w:type="dxa"/>
            <w:vAlign w:val="center"/>
          </w:tcPr>
          <w:p w:rsidR="003D0EBB" w:rsidRPr="00B72C5A" w:rsidRDefault="003C5FF9" w:rsidP="003D0EBB">
            <w:pPr>
              <w:jc w:val="center"/>
              <w:rPr>
                <w:rFonts w:ascii="Arial" w:hAnsi="Arial" w:cs="Arial"/>
                <w:sz w:val="22"/>
                <w:szCs w:val="22"/>
              </w:rPr>
            </w:pPr>
            <w:r>
              <w:rPr>
                <w:rFonts w:ascii="Arial" w:hAnsi="Arial" w:cs="Arial"/>
                <w:sz w:val="22"/>
                <w:szCs w:val="22"/>
              </w:rPr>
              <w:t>1672.55</w:t>
            </w:r>
          </w:p>
        </w:tc>
        <w:tc>
          <w:tcPr>
            <w:tcW w:w="1116" w:type="dxa"/>
            <w:vAlign w:val="center"/>
          </w:tcPr>
          <w:p w:rsidR="003D0EBB" w:rsidRPr="00B72C5A" w:rsidRDefault="003C5FF9" w:rsidP="003D0EBB">
            <w:pPr>
              <w:jc w:val="center"/>
              <w:rPr>
                <w:rFonts w:ascii="Arial" w:hAnsi="Arial" w:cs="Arial"/>
                <w:sz w:val="22"/>
                <w:szCs w:val="22"/>
              </w:rPr>
            </w:pPr>
            <w:r>
              <w:rPr>
                <w:rFonts w:ascii="Arial" w:hAnsi="Arial" w:cs="Arial"/>
                <w:sz w:val="22"/>
                <w:szCs w:val="22"/>
              </w:rPr>
              <w:t>1812.56</w:t>
            </w:r>
          </w:p>
        </w:tc>
        <w:tc>
          <w:tcPr>
            <w:tcW w:w="1093" w:type="dxa"/>
            <w:vAlign w:val="center"/>
          </w:tcPr>
          <w:p w:rsidR="003D0EBB" w:rsidRPr="00B72C5A" w:rsidRDefault="003C5FF9" w:rsidP="003D0EBB">
            <w:pPr>
              <w:jc w:val="center"/>
              <w:rPr>
                <w:rFonts w:ascii="Arial" w:hAnsi="Arial" w:cs="Arial"/>
                <w:sz w:val="22"/>
                <w:szCs w:val="22"/>
              </w:rPr>
            </w:pPr>
            <w:r>
              <w:rPr>
                <w:rFonts w:ascii="Arial" w:hAnsi="Arial" w:cs="Arial"/>
                <w:sz w:val="22"/>
                <w:szCs w:val="22"/>
              </w:rPr>
              <w:t>1612.34</w:t>
            </w:r>
          </w:p>
        </w:tc>
        <w:tc>
          <w:tcPr>
            <w:tcW w:w="1116" w:type="dxa"/>
            <w:vAlign w:val="center"/>
          </w:tcPr>
          <w:p w:rsidR="003D0EBB" w:rsidRPr="00B72C5A" w:rsidRDefault="003C5FF9" w:rsidP="003D0EBB">
            <w:pPr>
              <w:jc w:val="center"/>
              <w:rPr>
                <w:rFonts w:ascii="Arial" w:hAnsi="Arial" w:cs="Arial"/>
                <w:sz w:val="22"/>
                <w:szCs w:val="22"/>
              </w:rPr>
            </w:pPr>
            <w:r>
              <w:rPr>
                <w:rFonts w:ascii="Arial" w:hAnsi="Arial" w:cs="Arial"/>
                <w:sz w:val="22"/>
                <w:szCs w:val="22"/>
              </w:rPr>
              <w:t>1605.66</w:t>
            </w:r>
          </w:p>
        </w:tc>
        <w:tc>
          <w:tcPr>
            <w:tcW w:w="1093" w:type="dxa"/>
            <w:vAlign w:val="center"/>
          </w:tcPr>
          <w:p w:rsidR="003D0EBB" w:rsidRPr="00B72C5A" w:rsidRDefault="003C5FF9" w:rsidP="003D0EBB">
            <w:pPr>
              <w:jc w:val="center"/>
              <w:rPr>
                <w:rFonts w:ascii="Arial" w:hAnsi="Arial" w:cs="Arial"/>
                <w:sz w:val="22"/>
                <w:szCs w:val="22"/>
              </w:rPr>
            </w:pPr>
            <w:r>
              <w:rPr>
                <w:rFonts w:ascii="Arial" w:hAnsi="Arial" w:cs="Arial"/>
                <w:sz w:val="22"/>
                <w:szCs w:val="22"/>
              </w:rPr>
              <w:t>1532.46</w:t>
            </w:r>
          </w:p>
        </w:tc>
        <w:tc>
          <w:tcPr>
            <w:tcW w:w="1116" w:type="dxa"/>
            <w:vAlign w:val="center"/>
          </w:tcPr>
          <w:p w:rsidR="003D0EBB" w:rsidRPr="00B72C5A" w:rsidRDefault="003C5FF9" w:rsidP="003D0EBB">
            <w:pPr>
              <w:jc w:val="center"/>
              <w:rPr>
                <w:rFonts w:ascii="Arial" w:hAnsi="Arial" w:cs="Arial"/>
                <w:sz w:val="22"/>
                <w:szCs w:val="22"/>
              </w:rPr>
            </w:pPr>
            <w:r>
              <w:rPr>
                <w:rFonts w:ascii="Arial" w:hAnsi="Arial" w:cs="Arial"/>
                <w:sz w:val="22"/>
                <w:szCs w:val="22"/>
              </w:rPr>
              <w:t>1542.83</w:t>
            </w:r>
          </w:p>
        </w:tc>
        <w:tc>
          <w:tcPr>
            <w:tcW w:w="1151" w:type="dxa"/>
            <w:vAlign w:val="center"/>
          </w:tcPr>
          <w:p w:rsidR="003D0EBB" w:rsidRPr="00B72C5A" w:rsidRDefault="003D0EBB" w:rsidP="003D0EBB">
            <w:pPr>
              <w:jc w:val="right"/>
              <w:rPr>
                <w:rFonts w:ascii="Arial" w:hAnsi="Arial" w:cs="Arial"/>
                <w:bCs/>
                <w:sz w:val="22"/>
                <w:szCs w:val="22"/>
              </w:rPr>
            </w:pPr>
            <w:r w:rsidRPr="00B72C5A">
              <w:rPr>
                <w:rFonts w:ascii="Arial" w:hAnsi="Arial" w:cs="Arial"/>
                <w:bCs/>
                <w:sz w:val="22"/>
                <w:szCs w:val="22"/>
              </w:rPr>
              <w:t>1509.949</w:t>
            </w:r>
          </w:p>
        </w:tc>
      </w:tr>
    </w:tbl>
    <w:p w:rsidR="00E61838" w:rsidRPr="00E61838" w:rsidRDefault="00E61838" w:rsidP="00E61838"/>
    <w:p w:rsidR="00E61838" w:rsidRPr="00E61838" w:rsidRDefault="00E61838" w:rsidP="00E61838"/>
    <w:p w:rsidR="004276A0" w:rsidRPr="00E6148F" w:rsidRDefault="004276A0" w:rsidP="000334F1">
      <w:pPr>
        <w:pStyle w:val="Heading1"/>
        <w:numPr>
          <w:ilvl w:val="1"/>
          <w:numId w:val="1"/>
        </w:numPr>
        <w:spacing w:line="360" w:lineRule="auto"/>
        <w:jc w:val="both"/>
        <w:rPr>
          <w:sz w:val="22"/>
          <w:szCs w:val="22"/>
        </w:rPr>
      </w:pPr>
      <w:bookmarkStart w:id="8" w:name="_Toc404940135"/>
      <w:r w:rsidRPr="00E6148F">
        <w:rPr>
          <w:sz w:val="22"/>
          <w:szCs w:val="22"/>
        </w:rPr>
        <w:t>Power Purchase Expenses</w:t>
      </w:r>
      <w:bookmarkEnd w:id="8"/>
    </w:p>
    <w:p w:rsidR="00B72C5A" w:rsidRPr="00E6148F" w:rsidRDefault="00B72C5A" w:rsidP="00B72C5A">
      <w:pPr>
        <w:pStyle w:val="BodyText2"/>
        <w:spacing w:line="360" w:lineRule="auto"/>
        <w:ind w:left="360"/>
        <w:jc w:val="both"/>
        <w:rPr>
          <w:rFonts w:cs="Arial"/>
          <w:color w:val="FF0000"/>
          <w:sz w:val="22"/>
          <w:szCs w:val="22"/>
          <w:lang w:val="en-GB"/>
        </w:rPr>
      </w:pPr>
      <w:r w:rsidRPr="00E6148F">
        <w:rPr>
          <w:rFonts w:cs="Arial"/>
          <w:sz w:val="22"/>
          <w:szCs w:val="22"/>
          <w:lang w:val="en-GB"/>
        </w:rPr>
        <w:t>The power purchase expenses have been derived based on sales estimates and the distribution loss level. For the year FY 2015-16, energy input of 5624.568. MU has been estimated based on the estimated sale of 3886.299 MU and Distribution Loss of 30.90 %.</w:t>
      </w:r>
    </w:p>
    <w:p w:rsidR="00B72C5A" w:rsidRPr="00E6148F" w:rsidRDefault="00B72C5A" w:rsidP="00B72C5A">
      <w:pPr>
        <w:pStyle w:val="BodyText2"/>
        <w:spacing w:line="360" w:lineRule="auto"/>
        <w:ind w:left="360"/>
        <w:jc w:val="both"/>
        <w:rPr>
          <w:rFonts w:cs="Arial"/>
          <w:sz w:val="22"/>
          <w:szCs w:val="22"/>
          <w:lang w:val="en-GB"/>
        </w:rPr>
      </w:pPr>
      <w:r w:rsidRPr="00E6148F">
        <w:rPr>
          <w:rFonts w:cs="Arial"/>
          <w:sz w:val="22"/>
          <w:szCs w:val="22"/>
          <w:lang w:val="en-GB"/>
        </w:rPr>
        <w:t>Power purchase cost for the current year is Rs.</w:t>
      </w:r>
      <w:r w:rsidR="00022377" w:rsidRPr="00E6148F">
        <w:rPr>
          <w:rFonts w:cs="Arial"/>
          <w:sz w:val="22"/>
          <w:szCs w:val="22"/>
          <w:lang w:val="en-GB"/>
        </w:rPr>
        <w:t>1616</w:t>
      </w:r>
      <w:r w:rsidRPr="00E6148F">
        <w:rPr>
          <w:rFonts w:cs="Arial"/>
          <w:sz w:val="22"/>
          <w:szCs w:val="22"/>
          <w:lang w:val="en-GB"/>
        </w:rPr>
        <w:t xml:space="preserve"> Crs and for the FY 2015-16 power purchase cost has been estimated at Rs. </w:t>
      </w:r>
      <w:r w:rsidR="00022377" w:rsidRPr="00E6148F">
        <w:rPr>
          <w:rFonts w:cs="Arial"/>
          <w:sz w:val="22"/>
          <w:szCs w:val="22"/>
          <w:lang w:val="en-GB"/>
        </w:rPr>
        <w:t>1716</w:t>
      </w:r>
      <w:r w:rsidRPr="00E6148F">
        <w:rPr>
          <w:rFonts w:cs="Arial"/>
          <w:sz w:val="22"/>
          <w:szCs w:val="22"/>
          <w:lang w:val="en-GB"/>
        </w:rPr>
        <w:t xml:space="preserve"> Crores with BSP @ 28</w:t>
      </w:r>
      <w:r w:rsidR="00022377" w:rsidRPr="00E6148F">
        <w:rPr>
          <w:rFonts w:cs="Arial"/>
          <w:sz w:val="22"/>
          <w:szCs w:val="22"/>
          <w:lang w:val="en-GB"/>
        </w:rPr>
        <w:t>0</w:t>
      </w:r>
      <w:r w:rsidRPr="00E6148F">
        <w:rPr>
          <w:rFonts w:cs="Arial"/>
          <w:sz w:val="22"/>
          <w:szCs w:val="22"/>
          <w:lang w:val="en-GB"/>
        </w:rPr>
        <w:t xml:space="preserve"> paise p.u. and transmission charges @ 2</w:t>
      </w:r>
      <w:r w:rsidR="00022377" w:rsidRPr="00E6148F">
        <w:rPr>
          <w:rFonts w:cs="Arial"/>
          <w:sz w:val="22"/>
          <w:szCs w:val="22"/>
          <w:lang w:val="en-GB"/>
        </w:rPr>
        <w:t>5 paise p.u. SLDC charges @ Rs 7</w:t>
      </w:r>
      <w:r w:rsidRPr="00E6148F">
        <w:rPr>
          <w:rFonts w:cs="Arial"/>
          <w:sz w:val="22"/>
          <w:szCs w:val="22"/>
          <w:lang w:val="en-GB"/>
        </w:rPr>
        <w:t>.13 lakhs per month. The UI bills served by Gridco have been prepared on an erroneous application of principle of central regulations pertaining to the Devi</w:t>
      </w:r>
      <w:r w:rsidR="00381110">
        <w:rPr>
          <w:rFonts w:cs="Arial"/>
          <w:sz w:val="22"/>
          <w:szCs w:val="22"/>
          <w:lang w:val="en-GB"/>
        </w:rPr>
        <w:t>ation &amp; Settlement Mechanisms (</w:t>
      </w:r>
      <w:r w:rsidRPr="00E6148F">
        <w:rPr>
          <w:rFonts w:cs="Arial"/>
          <w:sz w:val="22"/>
          <w:szCs w:val="22"/>
          <w:lang w:val="en-GB"/>
        </w:rPr>
        <w:t>the details of which are in the subsequent sections) and have not been taken on record. The licensee has brought it to the notice of the Hon`ble OERC and a meeting in this connection was held on the 10</w:t>
      </w:r>
      <w:r w:rsidRPr="00E6148F">
        <w:rPr>
          <w:rFonts w:cs="Arial"/>
          <w:sz w:val="22"/>
          <w:szCs w:val="22"/>
          <w:vertAlign w:val="superscript"/>
          <w:lang w:val="en-GB"/>
        </w:rPr>
        <w:t>th</w:t>
      </w:r>
      <w:r w:rsidRPr="00E6148F">
        <w:rPr>
          <w:rFonts w:cs="Arial"/>
          <w:sz w:val="22"/>
          <w:szCs w:val="22"/>
          <w:lang w:val="en-GB"/>
        </w:rPr>
        <w:t xml:space="preserve"> of Nov 2014, under the auspices of the Member (Technical). However, the Licensee </w:t>
      </w:r>
      <w:r w:rsidRPr="00E6148F">
        <w:rPr>
          <w:rFonts w:cs="Arial"/>
          <w:sz w:val="22"/>
          <w:szCs w:val="22"/>
          <w:lang w:val="en-GB"/>
        </w:rPr>
        <w:lastRenderedPageBreak/>
        <w:t xml:space="preserve">has considered the excess actual drawal in MUs over the Scheduled MU at BST rate for </w:t>
      </w:r>
      <w:r w:rsidR="00381110">
        <w:rPr>
          <w:rFonts w:cs="Arial"/>
          <w:sz w:val="22"/>
          <w:szCs w:val="22"/>
          <w:lang w:val="en-GB"/>
        </w:rPr>
        <w:t xml:space="preserve">the purpose of </w:t>
      </w:r>
      <w:r w:rsidRPr="00E6148F">
        <w:rPr>
          <w:rFonts w:cs="Arial"/>
          <w:sz w:val="22"/>
          <w:szCs w:val="22"/>
          <w:lang w:val="en-GB"/>
        </w:rPr>
        <w:t xml:space="preserve">estimating power cost for the current FY-2014-15. </w:t>
      </w:r>
    </w:p>
    <w:p w:rsidR="00B72C5A" w:rsidRPr="00E6148F" w:rsidRDefault="00B72C5A" w:rsidP="00B72C5A">
      <w:pPr>
        <w:pStyle w:val="BodyText2"/>
        <w:spacing w:line="360" w:lineRule="auto"/>
        <w:ind w:left="360"/>
        <w:jc w:val="both"/>
        <w:rPr>
          <w:rFonts w:cs="Arial"/>
          <w:b/>
          <w:bCs/>
          <w:sz w:val="22"/>
          <w:szCs w:val="22"/>
          <w:u w:val="single"/>
          <w:lang w:val="en-GB"/>
        </w:rPr>
      </w:pPr>
      <w:r w:rsidRPr="00E6148F">
        <w:rPr>
          <w:rFonts w:cs="Arial"/>
          <w:b/>
          <w:bCs/>
          <w:sz w:val="22"/>
          <w:szCs w:val="22"/>
          <w:u w:val="single"/>
          <w:lang w:val="en-GB"/>
        </w:rPr>
        <w:t>SMD Projection</w:t>
      </w:r>
    </w:p>
    <w:p w:rsidR="00B72C5A" w:rsidRPr="00E6148F" w:rsidRDefault="00B72C5A" w:rsidP="00B72C5A">
      <w:pPr>
        <w:pStyle w:val="BodyText2"/>
        <w:spacing w:line="360" w:lineRule="auto"/>
        <w:ind w:left="360"/>
        <w:jc w:val="both"/>
        <w:rPr>
          <w:rFonts w:cs="Arial"/>
          <w:color w:val="FF0000"/>
          <w:sz w:val="22"/>
          <w:szCs w:val="22"/>
          <w:lang w:val="en-GB"/>
        </w:rPr>
      </w:pPr>
      <w:r w:rsidRPr="00E6148F">
        <w:rPr>
          <w:rFonts w:cs="Arial"/>
          <w:sz w:val="22"/>
          <w:szCs w:val="22"/>
          <w:lang w:val="en-GB"/>
        </w:rPr>
        <w:t xml:space="preserve">Considering the past record and additional load towards inclusion of BPL and APL consumer under RGGVY and BGJY, the licensee proposes 1250MVA as SMD for FY 2015-16 as against the SMD of </w:t>
      </w:r>
      <w:r w:rsidR="00E6148F" w:rsidRPr="00E6148F">
        <w:rPr>
          <w:rFonts w:cs="Arial"/>
          <w:sz w:val="22"/>
          <w:szCs w:val="22"/>
          <w:lang w:val="en-GB"/>
        </w:rPr>
        <w:t>940 M</w:t>
      </w:r>
      <w:r w:rsidRPr="00E6148F">
        <w:rPr>
          <w:rFonts w:cs="Arial"/>
          <w:sz w:val="22"/>
          <w:szCs w:val="22"/>
          <w:lang w:val="en-GB"/>
        </w:rPr>
        <w:t>VA during FY 2013-14 and 1</w:t>
      </w:r>
      <w:r w:rsidRPr="00E6148F">
        <w:rPr>
          <w:rFonts w:cs="Arial"/>
          <w:sz w:val="22"/>
          <w:szCs w:val="22"/>
          <w:vertAlign w:val="superscript"/>
          <w:lang w:val="en-GB"/>
        </w:rPr>
        <w:t>st</w:t>
      </w:r>
      <w:r w:rsidRPr="00E6148F">
        <w:rPr>
          <w:rFonts w:cs="Arial"/>
          <w:sz w:val="22"/>
          <w:szCs w:val="22"/>
          <w:lang w:val="en-GB"/>
        </w:rPr>
        <w:t xml:space="preserve"> half year of FY-2014-15.</w:t>
      </w:r>
    </w:p>
    <w:p w:rsidR="00B72C5A" w:rsidRPr="00E6148F" w:rsidRDefault="00B72C5A" w:rsidP="00B72C5A">
      <w:pPr>
        <w:pStyle w:val="BodyText2"/>
        <w:spacing w:line="360" w:lineRule="auto"/>
        <w:ind w:left="360"/>
        <w:jc w:val="both"/>
        <w:rPr>
          <w:rFonts w:cs="Arial"/>
          <w:bCs/>
          <w:sz w:val="22"/>
          <w:szCs w:val="22"/>
          <w:lang w:val="en-GB"/>
        </w:rPr>
      </w:pPr>
      <w:r w:rsidRPr="00E6148F">
        <w:rPr>
          <w:rFonts w:cs="Arial"/>
          <w:bCs/>
          <w:sz w:val="22"/>
          <w:szCs w:val="22"/>
          <w:lang w:val="en-GB"/>
        </w:rPr>
        <w:t>The licensee submits that SMD (MVA) projections for a year are estimated based on load mix, consumption patterns and other economic policies, and restricting the SMD of a Discom up-to a particular level without considering the proposal as above and imposing penalty thereof for drawl beyond the approved level, shall put the Licensee with higher financial burden.</w:t>
      </w:r>
    </w:p>
    <w:p w:rsidR="004276A0" w:rsidRPr="00343F01" w:rsidRDefault="004276A0" w:rsidP="000334F1">
      <w:pPr>
        <w:pStyle w:val="Heading1"/>
        <w:numPr>
          <w:ilvl w:val="1"/>
          <w:numId w:val="1"/>
        </w:numPr>
        <w:spacing w:line="360" w:lineRule="auto"/>
        <w:jc w:val="both"/>
        <w:rPr>
          <w:sz w:val="22"/>
          <w:szCs w:val="22"/>
        </w:rPr>
      </w:pPr>
      <w:bookmarkStart w:id="9" w:name="_Toc404940136"/>
      <w:r w:rsidRPr="00343F01">
        <w:rPr>
          <w:sz w:val="22"/>
          <w:szCs w:val="22"/>
        </w:rPr>
        <w:t>Employees Expenses</w:t>
      </w:r>
      <w:bookmarkEnd w:id="9"/>
    </w:p>
    <w:p w:rsidR="00BC74C7" w:rsidRPr="00343F01" w:rsidRDefault="00BC74C7" w:rsidP="00BC74C7">
      <w:pPr>
        <w:pStyle w:val="Footer"/>
        <w:tabs>
          <w:tab w:val="clear" w:pos="4320"/>
          <w:tab w:val="clear" w:pos="8640"/>
        </w:tabs>
        <w:spacing w:line="360" w:lineRule="auto"/>
        <w:ind w:left="360"/>
        <w:jc w:val="both"/>
        <w:rPr>
          <w:rFonts w:ascii="Arial" w:hAnsi="Arial" w:cs="Arial"/>
          <w:sz w:val="22"/>
          <w:szCs w:val="22"/>
        </w:rPr>
      </w:pPr>
      <w:r w:rsidRPr="00343F01">
        <w:rPr>
          <w:rFonts w:ascii="Arial" w:hAnsi="Arial" w:cs="Arial"/>
          <w:sz w:val="22"/>
          <w:szCs w:val="22"/>
        </w:rPr>
        <w:t>The Licensee company NESCO was formed after unbundling of GRIDCO as per 2</w:t>
      </w:r>
      <w:r w:rsidRPr="00343F01">
        <w:rPr>
          <w:rFonts w:ascii="Arial" w:hAnsi="Arial" w:cs="Arial"/>
          <w:sz w:val="22"/>
          <w:szCs w:val="22"/>
          <w:vertAlign w:val="superscript"/>
        </w:rPr>
        <w:t>nd</w:t>
      </w:r>
      <w:r w:rsidRPr="00343F01">
        <w:rPr>
          <w:rFonts w:ascii="Arial" w:hAnsi="Arial" w:cs="Arial"/>
          <w:sz w:val="22"/>
          <w:szCs w:val="22"/>
        </w:rPr>
        <w:t xml:space="preserve"> Transfer Scheme, 1998 and thereby all the personnel deployed in Distribution business were transferred from erstwhile GRIDCO.  Initially, the nos. of personnel on roll was around 4</w:t>
      </w:r>
      <w:r w:rsidR="007926B0">
        <w:rPr>
          <w:rFonts w:ascii="Arial" w:hAnsi="Arial" w:cs="Arial"/>
          <w:sz w:val="22"/>
          <w:szCs w:val="22"/>
        </w:rPr>
        <w:t>,</w:t>
      </w:r>
      <w:r w:rsidRPr="00343F01">
        <w:rPr>
          <w:rFonts w:ascii="Arial" w:hAnsi="Arial" w:cs="Arial"/>
          <w:sz w:val="22"/>
          <w:szCs w:val="22"/>
        </w:rPr>
        <w:t>600 nos which were inadequate and unevenly distributed to meet the functional requirement. Subsequently, by way of separation due to retirement, resignation death etc, there has been drastically reduction of manpower. In view of the large scale energisation of new areas either though rural electrification or due to addition of new consumers, the Licensee restructured and reorganized by</w:t>
      </w:r>
      <w:r w:rsidR="007926B0">
        <w:rPr>
          <w:rFonts w:ascii="Arial" w:hAnsi="Arial" w:cs="Arial"/>
          <w:sz w:val="22"/>
          <w:szCs w:val="22"/>
        </w:rPr>
        <w:t xml:space="preserve"> creation of new Divisions, Sub</w:t>
      </w:r>
      <w:r w:rsidRPr="00343F01">
        <w:rPr>
          <w:rFonts w:ascii="Arial" w:hAnsi="Arial" w:cs="Arial"/>
          <w:sz w:val="22"/>
          <w:szCs w:val="22"/>
        </w:rPr>
        <w:t>-division</w:t>
      </w:r>
      <w:r w:rsidR="007926B0">
        <w:rPr>
          <w:rFonts w:ascii="Arial" w:hAnsi="Arial" w:cs="Arial"/>
          <w:sz w:val="22"/>
          <w:szCs w:val="22"/>
        </w:rPr>
        <w:t>s</w:t>
      </w:r>
      <w:r w:rsidRPr="00343F01">
        <w:rPr>
          <w:rFonts w:ascii="Arial" w:hAnsi="Arial" w:cs="Arial"/>
          <w:sz w:val="22"/>
          <w:szCs w:val="22"/>
        </w:rPr>
        <w:t xml:space="preserve"> and Sections with reinforcement o</w:t>
      </w:r>
      <w:r w:rsidR="007926B0">
        <w:rPr>
          <w:rFonts w:ascii="Arial" w:hAnsi="Arial" w:cs="Arial"/>
          <w:sz w:val="22"/>
          <w:szCs w:val="22"/>
        </w:rPr>
        <w:t>f allied activities, such as MRT, Energy Audit</w:t>
      </w:r>
      <w:r w:rsidRPr="00343F01">
        <w:rPr>
          <w:rFonts w:ascii="Arial" w:hAnsi="Arial" w:cs="Arial"/>
          <w:sz w:val="22"/>
          <w:szCs w:val="22"/>
        </w:rPr>
        <w:t xml:space="preserve">, maintenance of distribution transformers and </w:t>
      </w:r>
      <w:r w:rsidR="007926B0">
        <w:rPr>
          <w:rFonts w:ascii="Arial" w:hAnsi="Arial" w:cs="Arial"/>
          <w:sz w:val="22"/>
          <w:szCs w:val="22"/>
        </w:rPr>
        <w:t>V</w:t>
      </w:r>
      <w:r w:rsidRPr="00343F01">
        <w:rPr>
          <w:rFonts w:ascii="Arial" w:hAnsi="Arial" w:cs="Arial"/>
          <w:sz w:val="22"/>
          <w:szCs w:val="22"/>
        </w:rPr>
        <w:t xml:space="preserve">igilance  activities.  </w:t>
      </w:r>
      <w:r w:rsidR="007926B0">
        <w:rPr>
          <w:rFonts w:ascii="Arial" w:hAnsi="Arial" w:cs="Arial"/>
          <w:sz w:val="22"/>
          <w:szCs w:val="22"/>
        </w:rPr>
        <w:t xml:space="preserve">The primary </w:t>
      </w:r>
      <w:r w:rsidRPr="00343F01">
        <w:rPr>
          <w:rFonts w:ascii="Arial" w:hAnsi="Arial" w:cs="Arial"/>
          <w:sz w:val="22"/>
          <w:szCs w:val="22"/>
        </w:rPr>
        <w:t>objective</w:t>
      </w:r>
      <w:r w:rsidR="007926B0">
        <w:rPr>
          <w:rFonts w:ascii="Arial" w:hAnsi="Arial" w:cs="Arial"/>
          <w:sz w:val="22"/>
          <w:szCs w:val="22"/>
        </w:rPr>
        <w:t xml:space="preserve">sof such measures </w:t>
      </w:r>
      <w:r w:rsidRPr="00343F01">
        <w:rPr>
          <w:rFonts w:ascii="Arial" w:hAnsi="Arial" w:cs="Arial"/>
          <w:sz w:val="22"/>
          <w:szCs w:val="22"/>
        </w:rPr>
        <w:t>w</w:t>
      </w:r>
      <w:r w:rsidR="007926B0">
        <w:rPr>
          <w:rFonts w:ascii="Arial" w:hAnsi="Arial" w:cs="Arial"/>
          <w:sz w:val="22"/>
          <w:szCs w:val="22"/>
        </w:rPr>
        <w:t>ere</w:t>
      </w:r>
      <w:r w:rsidRPr="00343F01">
        <w:rPr>
          <w:rFonts w:ascii="Arial" w:hAnsi="Arial" w:cs="Arial"/>
          <w:sz w:val="22"/>
          <w:szCs w:val="22"/>
        </w:rPr>
        <w:t xml:space="preserve"> to improve consumer coverage</w:t>
      </w:r>
      <w:r w:rsidR="007926B0">
        <w:rPr>
          <w:rFonts w:ascii="Arial" w:hAnsi="Arial" w:cs="Arial"/>
          <w:sz w:val="22"/>
          <w:szCs w:val="22"/>
        </w:rPr>
        <w:t xml:space="preserve"> in collection</w:t>
      </w:r>
      <w:r w:rsidRPr="00343F01">
        <w:rPr>
          <w:rFonts w:ascii="Arial" w:hAnsi="Arial" w:cs="Arial"/>
          <w:sz w:val="22"/>
          <w:szCs w:val="22"/>
        </w:rPr>
        <w:t xml:space="preserve">, reduction in Distribution losses and to meet the Revenue </w:t>
      </w:r>
      <w:r w:rsidR="007926B0">
        <w:rPr>
          <w:rFonts w:ascii="Arial" w:hAnsi="Arial" w:cs="Arial"/>
          <w:sz w:val="22"/>
          <w:szCs w:val="22"/>
        </w:rPr>
        <w:t>C</w:t>
      </w:r>
      <w:r w:rsidRPr="00343F01">
        <w:rPr>
          <w:rFonts w:ascii="Arial" w:hAnsi="Arial" w:cs="Arial"/>
          <w:sz w:val="22"/>
          <w:szCs w:val="22"/>
        </w:rPr>
        <w:t>ollection target. At present</w:t>
      </w:r>
      <w:r w:rsidR="007926B0">
        <w:rPr>
          <w:rFonts w:ascii="Arial" w:hAnsi="Arial" w:cs="Arial"/>
          <w:sz w:val="22"/>
          <w:szCs w:val="22"/>
        </w:rPr>
        <w:t>,</w:t>
      </w:r>
      <w:r w:rsidRPr="00343F01">
        <w:rPr>
          <w:rFonts w:ascii="Arial" w:hAnsi="Arial" w:cs="Arial"/>
          <w:sz w:val="22"/>
          <w:szCs w:val="22"/>
        </w:rPr>
        <w:t xml:space="preserve"> NESCO has 3</w:t>
      </w:r>
      <w:r w:rsidR="007926B0">
        <w:rPr>
          <w:rFonts w:ascii="Arial" w:hAnsi="Arial" w:cs="Arial"/>
          <w:sz w:val="22"/>
          <w:szCs w:val="22"/>
        </w:rPr>
        <w:t>,</w:t>
      </w:r>
      <w:r w:rsidRPr="00343F01">
        <w:rPr>
          <w:rFonts w:ascii="Arial" w:hAnsi="Arial" w:cs="Arial"/>
          <w:sz w:val="22"/>
          <w:szCs w:val="22"/>
        </w:rPr>
        <w:t>188 number of employees on the roll, 3111 no. of pensioners have been paid out of revenue due to the take away of the Transfer Scheme.</w:t>
      </w:r>
    </w:p>
    <w:p w:rsidR="00BC74C7" w:rsidRPr="00343F01" w:rsidRDefault="00BC74C7" w:rsidP="00BC74C7">
      <w:pPr>
        <w:pStyle w:val="Footer"/>
        <w:tabs>
          <w:tab w:val="clear" w:pos="4320"/>
          <w:tab w:val="clear" w:pos="8640"/>
        </w:tabs>
        <w:spacing w:line="360" w:lineRule="auto"/>
        <w:ind w:left="360"/>
        <w:jc w:val="both"/>
        <w:rPr>
          <w:rFonts w:ascii="Arial" w:hAnsi="Arial" w:cs="Arial"/>
          <w:sz w:val="22"/>
          <w:szCs w:val="22"/>
        </w:rPr>
      </w:pPr>
      <w:r w:rsidRPr="00343F01">
        <w:rPr>
          <w:rFonts w:ascii="Arial" w:hAnsi="Arial" w:cs="Arial"/>
          <w:sz w:val="22"/>
          <w:szCs w:val="22"/>
        </w:rPr>
        <w:t>The Licensee draws the attention of the Hon’ble Commission that</w:t>
      </w:r>
      <w:r w:rsidR="007926B0">
        <w:rPr>
          <w:rFonts w:ascii="Arial" w:hAnsi="Arial" w:cs="Arial"/>
          <w:sz w:val="22"/>
          <w:szCs w:val="22"/>
        </w:rPr>
        <w:t>,</w:t>
      </w:r>
      <w:r w:rsidRPr="00343F01">
        <w:rPr>
          <w:rFonts w:ascii="Arial" w:hAnsi="Arial" w:cs="Arial"/>
          <w:sz w:val="22"/>
          <w:szCs w:val="22"/>
        </w:rPr>
        <w:t xml:space="preserve"> escrow relaxation has been stopped since April 2013 and consequently N</w:t>
      </w:r>
      <w:r w:rsidR="007926B0">
        <w:rPr>
          <w:rFonts w:ascii="Arial" w:hAnsi="Arial" w:cs="Arial"/>
          <w:sz w:val="22"/>
          <w:szCs w:val="22"/>
        </w:rPr>
        <w:t>ESCO has to resort to short-</w:t>
      </w:r>
      <w:r w:rsidRPr="00343F01">
        <w:rPr>
          <w:rFonts w:ascii="Arial" w:hAnsi="Arial" w:cs="Arial"/>
          <w:sz w:val="22"/>
          <w:szCs w:val="22"/>
        </w:rPr>
        <w:t>term high cost borrowings to pay salaries, by way of pledging the meagre security deposits</w:t>
      </w:r>
      <w:r w:rsidR="007926B0">
        <w:rPr>
          <w:rFonts w:ascii="Arial" w:hAnsi="Arial" w:cs="Arial"/>
          <w:sz w:val="22"/>
          <w:szCs w:val="22"/>
        </w:rPr>
        <w:t>,</w:t>
      </w:r>
      <w:r w:rsidRPr="00343F01">
        <w:rPr>
          <w:rFonts w:ascii="Arial" w:hAnsi="Arial" w:cs="Arial"/>
          <w:sz w:val="22"/>
          <w:szCs w:val="22"/>
        </w:rPr>
        <w:t xml:space="preserve"> that </w:t>
      </w:r>
      <w:r w:rsidR="007926B0">
        <w:rPr>
          <w:rFonts w:ascii="Arial" w:hAnsi="Arial" w:cs="Arial"/>
          <w:sz w:val="22"/>
          <w:szCs w:val="22"/>
        </w:rPr>
        <w:t>were</w:t>
      </w:r>
      <w:r w:rsidRPr="00343F01">
        <w:rPr>
          <w:rFonts w:ascii="Arial" w:hAnsi="Arial" w:cs="Arial"/>
          <w:sz w:val="22"/>
          <w:szCs w:val="22"/>
        </w:rPr>
        <w:t xml:space="preserve"> available with itself. In the current year, N</w:t>
      </w:r>
      <w:r w:rsidR="007926B0">
        <w:rPr>
          <w:rFonts w:ascii="Arial" w:hAnsi="Arial" w:cs="Arial"/>
          <w:sz w:val="22"/>
          <w:szCs w:val="22"/>
        </w:rPr>
        <w:t>ESCO has availed short-</w:t>
      </w:r>
      <w:r w:rsidRPr="00343F01">
        <w:rPr>
          <w:rFonts w:ascii="Arial" w:hAnsi="Arial" w:cs="Arial"/>
          <w:sz w:val="22"/>
          <w:szCs w:val="22"/>
        </w:rPr>
        <w:t xml:space="preserve">term loans and the financial implications arising out of the same along with interest costs is to the tune of Rs 300 Cr </w:t>
      </w:r>
    </w:p>
    <w:p w:rsidR="005009C7" w:rsidRPr="00343F01" w:rsidRDefault="005009C7" w:rsidP="005009C7">
      <w:pPr>
        <w:pStyle w:val="Footer"/>
        <w:tabs>
          <w:tab w:val="clear" w:pos="4320"/>
          <w:tab w:val="clear" w:pos="8640"/>
        </w:tabs>
        <w:spacing w:line="360" w:lineRule="auto"/>
        <w:jc w:val="both"/>
        <w:rPr>
          <w:rFonts w:ascii="Arial" w:hAnsi="Arial" w:cs="Arial"/>
          <w:sz w:val="22"/>
          <w:szCs w:val="22"/>
        </w:rPr>
      </w:pPr>
    </w:p>
    <w:p w:rsidR="00080240" w:rsidRPr="00343F01" w:rsidRDefault="00080240" w:rsidP="00C66C5A">
      <w:pPr>
        <w:pStyle w:val="Footer"/>
        <w:tabs>
          <w:tab w:val="clear" w:pos="4320"/>
          <w:tab w:val="clear" w:pos="8640"/>
        </w:tabs>
        <w:spacing w:line="360" w:lineRule="auto"/>
        <w:ind w:left="360"/>
        <w:jc w:val="both"/>
        <w:rPr>
          <w:rFonts w:ascii="Arial" w:hAnsi="Arial" w:cs="Arial"/>
          <w:sz w:val="22"/>
          <w:szCs w:val="22"/>
        </w:rPr>
      </w:pPr>
      <w:r w:rsidRPr="00343F01">
        <w:rPr>
          <w:rFonts w:ascii="Arial" w:hAnsi="Arial" w:cs="Arial"/>
          <w:sz w:val="22"/>
          <w:szCs w:val="22"/>
        </w:rPr>
        <w:t xml:space="preserve">In this context, the Licensee would like to draw attention of the Hon’ble Commission to the detailed Order dated 4th September 2003 of </w:t>
      </w:r>
      <w:r w:rsidR="009A468A">
        <w:rPr>
          <w:rFonts w:ascii="Arial" w:hAnsi="Arial" w:cs="Arial"/>
          <w:sz w:val="22"/>
          <w:szCs w:val="22"/>
        </w:rPr>
        <w:t>Hon’ble OERC,</w:t>
      </w:r>
      <w:r w:rsidRPr="00343F01">
        <w:rPr>
          <w:rFonts w:ascii="Arial" w:hAnsi="Arial" w:cs="Arial"/>
          <w:sz w:val="22"/>
          <w:szCs w:val="22"/>
        </w:rPr>
        <w:t xml:space="preserve"> wherein it is stated that the </w:t>
      </w:r>
      <w:r w:rsidRPr="00343F01">
        <w:rPr>
          <w:rFonts w:ascii="Arial" w:hAnsi="Arial" w:cs="Arial"/>
          <w:sz w:val="22"/>
          <w:szCs w:val="22"/>
        </w:rPr>
        <w:lastRenderedPageBreak/>
        <w:t>payment of staff salary cannot be withheld by GRIDCO and the DISCOMs will retain the balance amount after meeting 100% current BST bills of GRIDCO to meet staff salary payment and urgent O&amp;M costs.  Further, in case there is some shortfall in one month the same should be made good in the next month along with 100% current BST bill of that month, which is not followed by GRIDCO. All surplus collection of the licensee over and above current BST bills and Net Salary is being deposited in the GRIDCO account, thereby forcing the Licensee to default in payment of terminal liability dues to the employee trusts, payments to supplier liabilities towards R&amp;M activities and interest/ principal repayments. For seeking further clarifications on the Hon’ble OERC Order, the DISCOMs filed a petition seeking clarification and Hon’ble OERC in its Order dated 22nd March 2004, opined as follows</w:t>
      </w:r>
    </w:p>
    <w:p w:rsidR="005009C7" w:rsidRPr="00C66C5A" w:rsidRDefault="005009C7" w:rsidP="00C66C5A">
      <w:pPr>
        <w:pStyle w:val="Footer"/>
        <w:tabs>
          <w:tab w:val="clear" w:pos="4320"/>
          <w:tab w:val="clear" w:pos="8640"/>
        </w:tabs>
        <w:spacing w:line="360" w:lineRule="auto"/>
        <w:ind w:left="360"/>
        <w:jc w:val="both"/>
        <w:rPr>
          <w:rFonts w:ascii="Arial" w:hAnsi="Arial" w:cs="Arial"/>
          <w:i/>
          <w:sz w:val="22"/>
          <w:szCs w:val="22"/>
        </w:rPr>
      </w:pPr>
      <w:r w:rsidRPr="00C66C5A">
        <w:rPr>
          <w:rFonts w:ascii="Arial" w:hAnsi="Arial" w:cs="Arial"/>
          <w:i/>
          <w:sz w:val="22"/>
          <w:szCs w:val="22"/>
        </w:rPr>
        <w:t>“6…….On hearing both the parties and after perusing all the documents before us, the Commission as per Sections 10 &amp; 11 of the OER Act, 1995 and also clause 57 of the Bulk Supply Agreement passed orders as under:-</w:t>
      </w:r>
    </w:p>
    <w:p w:rsidR="005009C7" w:rsidRPr="00C66C5A" w:rsidRDefault="005009C7" w:rsidP="00C66C5A">
      <w:pPr>
        <w:pStyle w:val="Footer"/>
        <w:tabs>
          <w:tab w:val="clear" w:pos="4320"/>
          <w:tab w:val="clear" w:pos="8640"/>
        </w:tabs>
        <w:spacing w:line="360" w:lineRule="auto"/>
        <w:ind w:left="360"/>
        <w:jc w:val="both"/>
        <w:rPr>
          <w:rFonts w:ascii="Arial" w:hAnsi="Arial" w:cs="Arial"/>
          <w:i/>
          <w:sz w:val="22"/>
          <w:szCs w:val="22"/>
        </w:rPr>
      </w:pPr>
      <w:r w:rsidRPr="00C66C5A">
        <w:rPr>
          <w:rFonts w:ascii="Arial" w:hAnsi="Arial" w:cs="Arial"/>
          <w:i/>
          <w:sz w:val="22"/>
          <w:szCs w:val="22"/>
        </w:rPr>
        <w:t>Relaxation of Escrow for the previous four months requested by the DISTCOs may be done forthwith by GRIDCO to enable the companies to replenish funds diverted from other heads of account for meeting staff salaries etc. Surplus funds, if any, may be passed on to GRIDCO.</w:t>
      </w:r>
    </w:p>
    <w:p w:rsidR="005009C7" w:rsidRPr="00C66C5A" w:rsidRDefault="005009C7" w:rsidP="00C66C5A">
      <w:pPr>
        <w:pStyle w:val="Footer"/>
        <w:tabs>
          <w:tab w:val="clear" w:pos="4320"/>
          <w:tab w:val="clear" w:pos="8640"/>
        </w:tabs>
        <w:spacing w:line="360" w:lineRule="auto"/>
        <w:ind w:left="360"/>
        <w:jc w:val="both"/>
        <w:rPr>
          <w:rFonts w:ascii="Arial" w:hAnsi="Arial" w:cs="Arial"/>
          <w:i/>
          <w:sz w:val="22"/>
          <w:szCs w:val="22"/>
        </w:rPr>
      </w:pPr>
      <w:r w:rsidRPr="00C66C5A">
        <w:rPr>
          <w:rFonts w:ascii="Arial" w:hAnsi="Arial" w:cs="Arial"/>
          <w:i/>
          <w:sz w:val="22"/>
          <w:szCs w:val="22"/>
        </w:rPr>
        <w:t>Once 100% BST bill is cleared by the three distribution companies, they will be entitled to retain the amount required to meet the expenses towards staff salaries, urgent O &amp; M costs and statutory dues in consultation with GRIDCO as GRIDCO is a joint-venture partner and the CMD, GRIDCO happens to be the non-executive Chairman of the above three DISTCOs.  Balance surplus amount is to be passed on to GRIDCO towards payment of dues on account of NTPC bonds.  GRIDCO’s loan amount etc.   GRIDCO has to act as per clause 55 of the Commission’s earlier order dated 04.09.2003.”</w:t>
      </w:r>
    </w:p>
    <w:p w:rsidR="00C66C5A" w:rsidRDefault="00C66C5A" w:rsidP="00C66C5A">
      <w:pPr>
        <w:pStyle w:val="Footer"/>
        <w:tabs>
          <w:tab w:val="clear" w:pos="4320"/>
          <w:tab w:val="clear" w:pos="8640"/>
        </w:tabs>
        <w:spacing w:line="360" w:lineRule="auto"/>
        <w:ind w:left="360"/>
        <w:jc w:val="both"/>
        <w:rPr>
          <w:rFonts w:ascii="Arial" w:hAnsi="Arial" w:cs="Arial"/>
          <w:sz w:val="22"/>
          <w:szCs w:val="22"/>
        </w:rPr>
      </w:pPr>
    </w:p>
    <w:p w:rsidR="005009C7" w:rsidRPr="00C66C5A" w:rsidRDefault="005009C7" w:rsidP="00C66C5A">
      <w:pPr>
        <w:pStyle w:val="Footer"/>
        <w:tabs>
          <w:tab w:val="clear" w:pos="4320"/>
          <w:tab w:val="clear" w:pos="8640"/>
        </w:tabs>
        <w:spacing w:line="360" w:lineRule="auto"/>
        <w:ind w:left="360"/>
        <w:jc w:val="both"/>
        <w:rPr>
          <w:rFonts w:ascii="Arial" w:hAnsi="Arial" w:cs="Arial"/>
          <w:sz w:val="22"/>
          <w:szCs w:val="22"/>
        </w:rPr>
      </w:pPr>
      <w:r w:rsidRPr="00C66C5A">
        <w:rPr>
          <w:rFonts w:ascii="Arial" w:hAnsi="Arial" w:cs="Arial"/>
          <w:sz w:val="22"/>
          <w:szCs w:val="22"/>
        </w:rPr>
        <w:t xml:space="preserve">Hon’ble Commission approved Rs. 231.45 crores for the year 2014-15. However taking into consideration the actual payment made during 1st six months of FY 2014-15, the licensee estimated the same amount of Rs. 240.72 Cr is required to be disbursed during the current year.  </w:t>
      </w:r>
    </w:p>
    <w:p w:rsidR="00C66C5A" w:rsidRDefault="00C66C5A" w:rsidP="00C66C5A">
      <w:pPr>
        <w:pStyle w:val="Footer"/>
        <w:tabs>
          <w:tab w:val="clear" w:pos="4320"/>
          <w:tab w:val="clear" w:pos="8640"/>
        </w:tabs>
        <w:spacing w:line="360" w:lineRule="auto"/>
        <w:ind w:left="360"/>
        <w:jc w:val="both"/>
        <w:rPr>
          <w:rFonts w:ascii="Arial" w:hAnsi="Arial" w:cs="Arial"/>
          <w:sz w:val="22"/>
          <w:szCs w:val="22"/>
        </w:rPr>
      </w:pPr>
    </w:p>
    <w:p w:rsidR="00C66C5A" w:rsidRDefault="00C66C5A" w:rsidP="00C66C5A">
      <w:pPr>
        <w:pStyle w:val="Footer"/>
        <w:tabs>
          <w:tab w:val="clear" w:pos="4320"/>
          <w:tab w:val="clear" w:pos="8640"/>
        </w:tabs>
        <w:spacing w:line="360" w:lineRule="auto"/>
        <w:ind w:left="360"/>
        <w:jc w:val="both"/>
        <w:rPr>
          <w:rFonts w:ascii="Arial" w:hAnsi="Arial" w:cs="Arial"/>
          <w:sz w:val="22"/>
          <w:szCs w:val="22"/>
        </w:rPr>
      </w:pPr>
    </w:p>
    <w:p w:rsidR="00C66C5A" w:rsidRDefault="00C66C5A" w:rsidP="00C66C5A">
      <w:pPr>
        <w:pStyle w:val="Footer"/>
        <w:tabs>
          <w:tab w:val="clear" w:pos="4320"/>
          <w:tab w:val="clear" w:pos="8640"/>
        </w:tabs>
        <w:spacing w:line="360" w:lineRule="auto"/>
        <w:ind w:left="360"/>
        <w:jc w:val="both"/>
        <w:rPr>
          <w:rFonts w:ascii="Arial" w:hAnsi="Arial" w:cs="Arial"/>
          <w:sz w:val="22"/>
          <w:szCs w:val="22"/>
        </w:rPr>
      </w:pPr>
    </w:p>
    <w:p w:rsidR="00C66C5A" w:rsidRDefault="00C66C5A" w:rsidP="00C66C5A">
      <w:pPr>
        <w:pStyle w:val="Footer"/>
        <w:tabs>
          <w:tab w:val="clear" w:pos="4320"/>
          <w:tab w:val="clear" w:pos="8640"/>
        </w:tabs>
        <w:spacing w:line="360" w:lineRule="auto"/>
        <w:ind w:left="360"/>
        <w:jc w:val="both"/>
        <w:rPr>
          <w:rFonts w:ascii="Arial" w:hAnsi="Arial" w:cs="Arial"/>
          <w:sz w:val="22"/>
          <w:szCs w:val="22"/>
        </w:rPr>
      </w:pPr>
    </w:p>
    <w:p w:rsidR="005009C7" w:rsidRDefault="005009C7" w:rsidP="00C66C5A">
      <w:pPr>
        <w:pStyle w:val="Footer"/>
        <w:tabs>
          <w:tab w:val="clear" w:pos="4320"/>
          <w:tab w:val="clear" w:pos="8640"/>
        </w:tabs>
        <w:spacing w:line="360" w:lineRule="auto"/>
        <w:ind w:left="360"/>
        <w:jc w:val="both"/>
        <w:rPr>
          <w:rFonts w:ascii="Arial" w:hAnsi="Arial" w:cs="Arial"/>
          <w:sz w:val="22"/>
          <w:szCs w:val="22"/>
        </w:rPr>
      </w:pPr>
      <w:r w:rsidRPr="00C66C5A">
        <w:rPr>
          <w:rFonts w:ascii="Arial" w:hAnsi="Arial" w:cs="Arial"/>
          <w:sz w:val="22"/>
          <w:szCs w:val="22"/>
        </w:rPr>
        <w:t>The details of the number of employees to be recruited and retired during the current year and the ensuing year is submitted in the following table.</w:t>
      </w:r>
    </w:p>
    <w:p w:rsidR="00C66C5A" w:rsidRPr="00C66C5A" w:rsidRDefault="00C66C5A" w:rsidP="00C66C5A">
      <w:pPr>
        <w:pStyle w:val="Footer"/>
        <w:tabs>
          <w:tab w:val="clear" w:pos="4320"/>
          <w:tab w:val="clear" w:pos="8640"/>
        </w:tabs>
        <w:spacing w:line="360" w:lineRule="auto"/>
        <w:ind w:left="360"/>
        <w:jc w:val="both"/>
        <w:rPr>
          <w:rFonts w:ascii="Arial" w:hAnsi="Arial" w:cs="Arial"/>
          <w:sz w:val="22"/>
          <w:szCs w:val="22"/>
        </w:rPr>
      </w:pPr>
    </w:p>
    <w:tbl>
      <w:tblPr>
        <w:tblW w:w="8482" w:type="dxa"/>
        <w:tblInd w:w="279" w:type="dxa"/>
        <w:tblLook w:val="04A0"/>
      </w:tblPr>
      <w:tblGrid>
        <w:gridCol w:w="2325"/>
        <w:gridCol w:w="1435"/>
        <w:gridCol w:w="1234"/>
        <w:gridCol w:w="1158"/>
        <w:gridCol w:w="1191"/>
        <w:gridCol w:w="1139"/>
      </w:tblGrid>
      <w:tr w:rsidR="005009C7" w:rsidRPr="00343F01" w:rsidTr="00C66C5A">
        <w:trPr>
          <w:trHeight w:val="315"/>
        </w:trPr>
        <w:tc>
          <w:tcPr>
            <w:tcW w:w="2325"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5009C7" w:rsidRPr="00343F01" w:rsidRDefault="005009C7" w:rsidP="00AE0BAB">
            <w:pPr>
              <w:jc w:val="center"/>
              <w:rPr>
                <w:rFonts w:ascii="Arial" w:hAnsi="Arial" w:cs="Arial"/>
                <w:sz w:val="22"/>
                <w:szCs w:val="22"/>
              </w:rPr>
            </w:pPr>
            <w:r w:rsidRPr="00343F01">
              <w:rPr>
                <w:rFonts w:ascii="Arial" w:hAnsi="Arial" w:cs="Arial"/>
                <w:sz w:val="22"/>
                <w:szCs w:val="22"/>
                <w:lang w:val="en-IN"/>
              </w:rPr>
              <w:lastRenderedPageBreak/>
              <w:t>NESCO Ltd.</w:t>
            </w:r>
          </w:p>
        </w:tc>
        <w:tc>
          <w:tcPr>
            <w:tcW w:w="2669" w:type="dxa"/>
            <w:gridSpan w:val="2"/>
            <w:tcBorders>
              <w:top w:val="single" w:sz="8" w:space="0" w:color="auto"/>
              <w:left w:val="nil"/>
              <w:bottom w:val="single" w:sz="8" w:space="0" w:color="auto"/>
              <w:right w:val="single" w:sz="8" w:space="0" w:color="000000"/>
            </w:tcBorders>
            <w:shd w:val="clear" w:color="auto" w:fill="auto"/>
            <w:vAlign w:val="bottom"/>
            <w:hideMark/>
          </w:tcPr>
          <w:p w:rsidR="005009C7" w:rsidRPr="00343F01" w:rsidRDefault="005009C7" w:rsidP="00AE0BAB">
            <w:pPr>
              <w:jc w:val="center"/>
              <w:rPr>
                <w:rFonts w:ascii="Arial" w:hAnsi="Arial" w:cs="Arial"/>
                <w:sz w:val="22"/>
                <w:szCs w:val="22"/>
              </w:rPr>
            </w:pPr>
            <w:r w:rsidRPr="00343F01">
              <w:rPr>
                <w:rFonts w:ascii="Arial" w:hAnsi="Arial" w:cs="Arial"/>
                <w:sz w:val="22"/>
                <w:szCs w:val="22"/>
                <w:lang w:val="en-IN"/>
              </w:rPr>
              <w:t>Executive</w:t>
            </w:r>
          </w:p>
        </w:tc>
        <w:tc>
          <w:tcPr>
            <w:tcW w:w="2349" w:type="dxa"/>
            <w:gridSpan w:val="2"/>
            <w:tcBorders>
              <w:top w:val="single" w:sz="8" w:space="0" w:color="auto"/>
              <w:left w:val="nil"/>
              <w:bottom w:val="single" w:sz="8" w:space="0" w:color="auto"/>
              <w:right w:val="single" w:sz="8" w:space="0" w:color="000000"/>
            </w:tcBorders>
            <w:shd w:val="clear" w:color="auto" w:fill="auto"/>
            <w:vAlign w:val="bottom"/>
            <w:hideMark/>
          </w:tcPr>
          <w:p w:rsidR="005009C7" w:rsidRPr="00343F01" w:rsidRDefault="005009C7" w:rsidP="00AE0BAB">
            <w:pPr>
              <w:jc w:val="center"/>
              <w:rPr>
                <w:rFonts w:ascii="Arial" w:hAnsi="Arial" w:cs="Arial"/>
                <w:sz w:val="22"/>
                <w:szCs w:val="22"/>
              </w:rPr>
            </w:pPr>
            <w:r w:rsidRPr="00343F01">
              <w:rPr>
                <w:rFonts w:ascii="Arial" w:hAnsi="Arial" w:cs="Arial"/>
                <w:sz w:val="22"/>
                <w:szCs w:val="22"/>
                <w:lang w:val="en-IN"/>
              </w:rPr>
              <w:t>Non-Executive</w:t>
            </w:r>
          </w:p>
        </w:tc>
        <w:tc>
          <w:tcPr>
            <w:tcW w:w="1139" w:type="dxa"/>
            <w:tcBorders>
              <w:top w:val="single" w:sz="8" w:space="0" w:color="auto"/>
              <w:left w:val="nil"/>
              <w:bottom w:val="single" w:sz="8" w:space="0" w:color="auto"/>
              <w:right w:val="single" w:sz="8" w:space="0" w:color="auto"/>
            </w:tcBorders>
            <w:shd w:val="clear" w:color="auto" w:fill="auto"/>
            <w:vAlign w:val="bottom"/>
            <w:hideMark/>
          </w:tcPr>
          <w:p w:rsidR="005009C7" w:rsidRPr="00343F01" w:rsidRDefault="005009C7" w:rsidP="00AE0BAB">
            <w:pPr>
              <w:jc w:val="center"/>
              <w:rPr>
                <w:rFonts w:ascii="Arial" w:hAnsi="Arial" w:cs="Arial"/>
                <w:sz w:val="22"/>
                <w:szCs w:val="22"/>
              </w:rPr>
            </w:pPr>
            <w:r w:rsidRPr="00343F01">
              <w:rPr>
                <w:rFonts w:ascii="Arial" w:hAnsi="Arial" w:cs="Arial"/>
                <w:sz w:val="22"/>
                <w:szCs w:val="22"/>
                <w:lang w:val="en-IN"/>
              </w:rPr>
              <w:t>Total</w:t>
            </w:r>
          </w:p>
        </w:tc>
      </w:tr>
      <w:tr w:rsidR="005009C7" w:rsidRPr="00343F01" w:rsidTr="00C66C5A">
        <w:trPr>
          <w:trHeight w:val="615"/>
        </w:trPr>
        <w:tc>
          <w:tcPr>
            <w:tcW w:w="2325" w:type="dxa"/>
            <w:tcBorders>
              <w:top w:val="nil"/>
              <w:left w:val="single" w:sz="8" w:space="0" w:color="auto"/>
              <w:bottom w:val="single" w:sz="8" w:space="0" w:color="auto"/>
              <w:right w:val="single" w:sz="8" w:space="0" w:color="auto"/>
            </w:tcBorders>
            <w:shd w:val="clear" w:color="auto" w:fill="auto"/>
            <w:vAlign w:val="bottom"/>
            <w:hideMark/>
          </w:tcPr>
          <w:p w:rsidR="005009C7" w:rsidRPr="00343F01" w:rsidRDefault="005009C7" w:rsidP="00AE0BAB">
            <w:pPr>
              <w:rPr>
                <w:rFonts w:ascii="Arial" w:hAnsi="Arial" w:cs="Arial"/>
                <w:sz w:val="22"/>
                <w:szCs w:val="22"/>
              </w:rPr>
            </w:pPr>
            <w:r w:rsidRPr="00343F01">
              <w:rPr>
                <w:rFonts w:ascii="Arial" w:hAnsi="Arial" w:cs="Arial"/>
                <w:sz w:val="22"/>
                <w:szCs w:val="22"/>
                <w:lang w:val="en-IN"/>
              </w:rPr>
              <w:t> </w:t>
            </w:r>
          </w:p>
        </w:tc>
        <w:tc>
          <w:tcPr>
            <w:tcW w:w="1435" w:type="dxa"/>
            <w:tcBorders>
              <w:top w:val="nil"/>
              <w:left w:val="nil"/>
              <w:bottom w:val="single" w:sz="8" w:space="0" w:color="auto"/>
              <w:right w:val="single" w:sz="8" w:space="0" w:color="auto"/>
            </w:tcBorders>
            <w:shd w:val="clear" w:color="auto" w:fill="auto"/>
            <w:vAlign w:val="bottom"/>
            <w:hideMark/>
          </w:tcPr>
          <w:p w:rsidR="005009C7" w:rsidRPr="00343F01" w:rsidRDefault="005009C7" w:rsidP="00AE0BAB">
            <w:pPr>
              <w:jc w:val="center"/>
              <w:rPr>
                <w:rFonts w:ascii="Arial" w:hAnsi="Arial" w:cs="Arial"/>
                <w:sz w:val="22"/>
                <w:szCs w:val="22"/>
              </w:rPr>
            </w:pPr>
            <w:r w:rsidRPr="00343F01">
              <w:rPr>
                <w:rFonts w:ascii="Arial" w:hAnsi="Arial" w:cs="Arial"/>
                <w:sz w:val="22"/>
                <w:szCs w:val="22"/>
                <w:lang w:val="en-IN"/>
              </w:rPr>
              <w:t>Technical</w:t>
            </w:r>
          </w:p>
        </w:tc>
        <w:tc>
          <w:tcPr>
            <w:tcW w:w="1234" w:type="dxa"/>
            <w:tcBorders>
              <w:top w:val="nil"/>
              <w:left w:val="nil"/>
              <w:bottom w:val="single" w:sz="8" w:space="0" w:color="auto"/>
              <w:right w:val="single" w:sz="8" w:space="0" w:color="auto"/>
            </w:tcBorders>
            <w:shd w:val="clear" w:color="auto" w:fill="auto"/>
            <w:vAlign w:val="bottom"/>
            <w:hideMark/>
          </w:tcPr>
          <w:p w:rsidR="005009C7" w:rsidRPr="00343F01" w:rsidRDefault="005009C7" w:rsidP="00AE0BAB">
            <w:pPr>
              <w:jc w:val="center"/>
              <w:rPr>
                <w:rFonts w:ascii="Arial" w:hAnsi="Arial" w:cs="Arial"/>
                <w:sz w:val="22"/>
                <w:szCs w:val="22"/>
              </w:rPr>
            </w:pPr>
            <w:r w:rsidRPr="00343F01">
              <w:rPr>
                <w:rFonts w:ascii="Arial" w:hAnsi="Arial" w:cs="Arial"/>
                <w:sz w:val="22"/>
                <w:szCs w:val="22"/>
                <w:lang w:val="en-IN"/>
              </w:rPr>
              <w:t>Non-Technical</w:t>
            </w:r>
          </w:p>
        </w:tc>
        <w:tc>
          <w:tcPr>
            <w:tcW w:w="1158" w:type="dxa"/>
            <w:tcBorders>
              <w:top w:val="nil"/>
              <w:left w:val="nil"/>
              <w:bottom w:val="single" w:sz="8" w:space="0" w:color="auto"/>
              <w:right w:val="single" w:sz="8" w:space="0" w:color="auto"/>
            </w:tcBorders>
            <w:shd w:val="clear" w:color="auto" w:fill="auto"/>
            <w:vAlign w:val="bottom"/>
            <w:hideMark/>
          </w:tcPr>
          <w:p w:rsidR="005009C7" w:rsidRPr="00343F01" w:rsidRDefault="005009C7" w:rsidP="00AE0BAB">
            <w:pPr>
              <w:jc w:val="center"/>
              <w:rPr>
                <w:rFonts w:ascii="Arial" w:hAnsi="Arial" w:cs="Arial"/>
                <w:sz w:val="22"/>
                <w:szCs w:val="22"/>
              </w:rPr>
            </w:pPr>
            <w:r w:rsidRPr="00343F01">
              <w:rPr>
                <w:rFonts w:ascii="Arial" w:hAnsi="Arial" w:cs="Arial"/>
                <w:sz w:val="22"/>
                <w:szCs w:val="22"/>
                <w:lang w:val="en-IN"/>
              </w:rPr>
              <w:t>Technical</w:t>
            </w:r>
          </w:p>
        </w:tc>
        <w:tc>
          <w:tcPr>
            <w:tcW w:w="1191" w:type="dxa"/>
            <w:tcBorders>
              <w:top w:val="nil"/>
              <w:left w:val="nil"/>
              <w:bottom w:val="single" w:sz="8" w:space="0" w:color="auto"/>
              <w:right w:val="single" w:sz="8" w:space="0" w:color="auto"/>
            </w:tcBorders>
            <w:shd w:val="clear" w:color="auto" w:fill="auto"/>
            <w:vAlign w:val="bottom"/>
            <w:hideMark/>
          </w:tcPr>
          <w:p w:rsidR="005009C7" w:rsidRPr="00343F01" w:rsidRDefault="005009C7" w:rsidP="00AE0BAB">
            <w:pPr>
              <w:jc w:val="center"/>
              <w:rPr>
                <w:rFonts w:ascii="Arial" w:hAnsi="Arial" w:cs="Arial"/>
                <w:sz w:val="22"/>
                <w:szCs w:val="22"/>
              </w:rPr>
            </w:pPr>
            <w:r w:rsidRPr="00343F01">
              <w:rPr>
                <w:rFonts w:ascii="Arial" w:hAnsi="Arial" w:cs="Arial"/>
                <w:sz w:val="22"/>
                <w:szCs w:val="22"/>
                <w:lang w:val="en-IN"/>
              </w:rPr>
              <w:t>Non-Technical</w:t>
            </w:r>
          </w:p>
        </w:tc>
        <w:tc>
          <w:tcPr>
            <w:tcW w:w="1139" w:type="dxa"/>
            <w:tcBorders>
              <w:top w:val="nil"/>
              <w:left w:val="nil"/>
              <w:bottom w:val="single" w:sz="8" w:space="0" w:color="auto"/>
              <w:right w:val="single" w:sz="8" w:space="0" w:color="auto"/>
            </w:tcBorders>
            <w:shd w:val="clear" w:color="auto" w:fill="auto"/>
            <w:vAlign w:val="bottom"/>
            <w:hideMark/>
          </w:tcPr>
          <w:p w:rsidR="005009C7" w:rsidRPr="00343F01" w:rsidRDefault="005009C7" w:rsidP="00AE0BAB">
            <w:pPr>
              <w:jc w:val="center"/>
              <w:rPr>
                <w:rFonts w:ascii="Arial" w:hAnsi="Arial" w:cs="Arial"/>
                <w:sz w:val="22"/>
                <w:szCs w:val="22"/>
              </w:rPr>
            </w:pPr>
            <w:r w:rsidRPr="00343F01">
              <w:rPr>
                <w:rFonts w:ascii="Arial" w:hAnsi="Arial" w:cs="Arial"/>
                <w:sz w:val="22"/>
                <w:szCs w:val="22"/>
                <w:lang w:val="en-IN"/>
              </w:rPr>
              <w:t> </w:t>
            </w:r>
          </w:p>
        </w:tc>
      </w:tr>
      <w:tr w:rsidR="005009C7" w:rsidRPr="00343F01" w:rsidTr="00C66C5A">
        <w:trPr>
          <w:trHeight w:val="315"/>
        </w:trPr>
        <w:tc>
          <w:tcPr>
            <w:tcW w:w="2325" w:type="dxa"/>
            <w:tcBorders>
              <w:top w:val="nil"/>
              <w:left w:val="single" w:sz="8" w:space="0" w:color="auto"/>
              <w:bottom w:val="single" w:sz="8" w:space="0" w:color="auto"/>
              <w:right w:val="single" w:sz="8" w:space="0" w:color="auto"/>
            </w:tcBorders>
            <w:shd w:val="clear" w:color="auto" w:fill="auto"/>
            <w:noWrap/>
            <w:vAlign w:val="bottom"/>
            <w:hideMark/>
          </w:tcPr>
          <w:p w:rsidR="005009C7" w:rsidRPr="00343F01" w:rsidRDefault="005009C7" w:rsidP="00AE0BAB">
            <w:pPr>
              <w:rPr>
                <w:rFonts w:ascii="Arial" w:hAnsi="Arial" w:cs="Arial"/>
                <w:sz w:val="22"/>
                <w:szCs w:val="22"/>
              </w:rPr>
            </w:pPr>
            <w:r w:rsidRPr="00343F01">
              <w:rPr>
                <w:rFonts w:ascii="Arial" w:hAnsi="Arial" w:cs="Arial"/>
                <w:sz w:val="22"/>
                <w:szCs w:val="22"/>
                <w:lang w:val="en-IN"/>
              </w:rPr>
              <w:t>As on 01-04-14</w:t>
            </w:r>
          </w:p>
        </w:tc>
        <w:tc>
          <w:tcPr>
            <w:tcW w:w="1435"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rPr>
              <w:t>347</w:t>
            </w:r>
          </w:p>
        </w:tc>
        <w:tc>
          <w:tcPr>
            <w:tcW w:w="1234"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rPr>
              <w:t>78</w:t>
            </w:r>
          </w:p>
        </w:tc>
        <w:tc>
          <w:tcPr>
            <w:tcW w:w="1158"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2502</w:t>
            </w:r>
          </w:p>
        </w:tc>
        <w:tc>
          <w:tcPr>
            <w:tcW w:w="1191"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261</w:t>
            </w:r>
          </w:p>
        </w:tc>
        <w:tc>
          <w:tcPr>
            <w:tcW w:w="1139"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3188</w:t>
            </w:r>
          </w:p>
        </w:tc>
      </w:tr>
      <w:tr w:rsidR="005009C7" w:rsidRPr="00343F01" w:rsidTr="00C66C5A">
        <w:trPr>
          <w:trHeight w:val="315"/>
        </w:trPr>
        <w:tc>
          <w:tcPr>
            <w:tcW w:w="2325" w:type="dxa"/>
            <w:tcBorders>
              <w:top w:val="nil"/>
              <w:left w:val="single" w:sz="8" w:space="0" w:color="auto"/>
              <w:bottom w:val="single" w:sz="8" w:space="0" w:color="auto"/>
              <w:right w:val="single" w:sz="8" w:space="0" w:color="auto"/>
            </w:tcBorders>
            <w:shd w:val="clear" w:color="auto" w:fill="auto"/>
            <w:noWrap/>
            <w:vAlign w:val="bottom"/>
            <w:hideMark/>
          </w:tcPr>
          <w:p w:rsidR="005009C7" w:rsidRPr="00343F01" w:rsidRDefault="005009C7" w:rsidP="00AE0BAB">
            <w:pPr>
              <w:rPr>
                <w:rFonts w:ascii="Arial" w:hAnsi="Arial" w:cs="Arial"/>
                <w:sz w:val="22"/>
                <w:szCs w:val="22"/>
              </w:rPr>
            </w:pPr>
            <w:r w:rsidRPr="00343F01">
              <w:rPr>
                <w:rFonts w:ascii="Arial" w:hAnsi="Arial" w:cs="Arial"/>
                <w:sz w:val="22"/>
                <w:szCs w:val="22"/>
                <w:lang w:val="en-IN"/>
              </w:rPr>
              <w:t>Recruitment during 14-15</w:t>
            </w:r>
          </w:p>
        </w:tc>
        <w:tc>
          <w:tcPr>
            <w:tcW w:w="1435"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15</w:t>
            </w:r>
          </w:p>
        </w:tc>
        <w:tc>
          <w:tcPr>
            <w:tcW w:w="1234"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10</w:t>
            </w:r>
          </w:p>
        </w:tc>
        <w:tc>
          <w:tcPr>
            <w:tcW w:w="1158"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0</w:t>
            </w:r>
          </w:p>
        </w:tc>
        <w:tc>
          <w:tcPr>
            <w:tcW w:w="1191"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25</w:t>
            </w:r>
          </w:p>
        </w:tc>
        <w:tc>
          <w:tcPr>
            <w:tcW w:w="1139"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50</w:t>
            </w:r>
          </w:p>
        </w:tc>
      </w:tr>
      <w:tr w:rsidR="005009C7" w:rsidRPr="00343F01" w:rsidTr="00C66C5A">
        <w:trPr>
          <w:trHeight w:val="315"/>
        </w:trPr>
        <w:tc>
          <w:tcPr>
            <w:tcW w:w="2325" w:type="dxa"/>
            <w:tcBorders>
              <w:top w:val="nil"/>
              <w:left w:val="single" w:sz="8" w:space="0" w:color="auto"/>
              <w:bottom w:val="single" w:sz="8" w:space="0" w:color="auto"/>
              <w:right w:val="single" w:sz="8" w:space="0" w:color="auto"/>
            </w:tcBorders>
            <w:shd w:val="clear" w:color="auto" w:fill="auto"/>
            <w:noWrap/>
            <w:vAlign w:val="bottom"/>
            <w:hideMark/>
          </w:tcPr>
          <w:p w:rsidR="005009C7" w:rsidRPr="00343F01" w:rsidRDefault="005009C7" w:rsidP="00AE0BAB">
            <w:pPr>
              <w:rPr>
                <w:rFonts w:ascii="Arial" w:hAnsi="Arial" w:cs="Arial"/>
                <w:sz w:val="22"/>
                <w:szCs w:val="22"/>
              </w:rPr>
            </w:pPr>
            <w:r w:rsidRPr="00343F01">
              <w:rPr>
                <w:rFonts w:ascii="Arial" w:hAnsi="Arial" w:cs="Arial"/>
                <w:sz w:val="22"/>
                <w:szCs w:val="22"/>
                <w:lang w:val="en-IN"/>
              </w:rPr>
              <w:t>Retirement during 14-15</w:t>
            </w:r>
          </w:p>
        </w:tc>
        <w:tc>
          <w:tcPr>
            <w:tcW w:w="1435"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0</w:t>
            </w:r>
          </w:p>
        </w:tc>
        <w:tc>
          <w:tcPr>
            <w:tcW w:w="1234"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0</w:t>
            </w:r>
          </w:p>
        </w:tc>
        <w:tc>
          <w:tcPr>
            <w:tcW w:w="1158"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109</w:t>
            </w:r>
          </w:p>
        </w:tc>
        <w:tc>
          <w:tcPr>
            <w:tcW w:w="1191"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13</w:t>
            </w:r>
          </w:p>
        </w:tc>
        <w:tc>
          <w:tcPr>
            <w:tcW w:w="1139"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122</w:t>
            </w:r>
          </w:p>
        </w:tc>
      </w:tr>
      <w:tr w:rsidR="005009C7" w:rsidRPr="00343F01" w:rsidTr="00C66C5A">
        <w:trPr>
          <w:trHeight w:val="315"/>
        </w:trPr>
        <w:tc>
          <w:tcPr>
            <w:tcW w:w="2325" w:type="dxa"/>
            <w:tcBorders>
              <w:top w:val="nil"/>
              <w:left w:val="single" w:sz="8" w:space="0" w:color="auto"/>
              <w:bottom w:val="single" w:sz="8" w:space="0" w:color="auto"/>
              <w:right w:val="single" w:sz="8" w:space="0" w:color="auto"/>
            </w:tcBorders>
            <w:shd w:val="clear" w:color="auto" w:fill="auto"/>
            <w:noWrap/>
            <w:vAlign w:val="bottom"/>
            <w:hideMark/>
          </w:tcPr>
          <w:p w:rsidR="005009C7" w:rsidRPr="00343F01" w:rsidRDefault="005009C7" w:rsidP="00AE0BAB">
            <w:pPr>
              <w:rPr>
                <w:rFonts w:ascii="Arial" w:hAnsi="Arial" w:cs="Arial"/>
                <w:sz w:val="22"/>
                <w:szCs w:val="22"/>
              </w:rPr>
            </w:pPr>
            <w:r w:rsidRPr="00343F01">
              <w:rPr>
                <w:rFonts w:ascii="Arial" w:hAnsi="Arial" w:cs="Arial"/>
                <w:sz w:val="22"/>
                <w:szCs w:val="22"/>
                <w:lang w:val="en-IN"/>
              </w:rPr>
              <w:t>As on 01-04-15</w:t>
            </w:r>
          </w:p>
        </w:tc>
        <w:tc>
          <w:tcPr>
            <w:tcW w:w="1435"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362</w:t>
            </w:r>
          </w:p>
        </w:tc>
        <w:tc>
          <w:tcPr>
            <w:tcW w:w="1234"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88</w:t>
            </w:r>
          </w:p>
        </w:tc>
        <w:tc>
          <w:tcPr>
            <w:tcW w:w="1158"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2393</w:t>
            </w:r>
          </w:p>
        </w:tc>
        <w:tc>
          <w:tcPr>
            <w:tcW w:w="1191"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273</w:t>
            </w:r>
          </w:p>
        </w:tc>
        <w:tc>
          <w:tcPr>
            <w:tcW w:w="1139"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3116</w:t>
            </w:r>
          </w:p>
        </w:tc>
      </w:tr>
      <w:tr w:rsidR="005009C7" w:rsidRPr="00343F01" w:rsidTr="00C66C5A">
        <w:trPr>
          <w:trHeight w:val="315"/>
        </w:trPr>
        <w:tc>
          <w:tcPr>
            <w:tcW w:w="2325" w:type="dxa"/>
            <w:tcBorders>
              <w:top w:val="nil"/>
              <w:left w:val="single" w:sz="8" w:space="0" w:color="auto"/>
              <w:bottom w:val="single" w:sz="8" w:space="0" w:color="auto"/>
              <w:right w:val="single" w:sz="8" w:space="0" w:color="auto"/>
            </w:tcBorders>
            <w:shd w:val="clear" w:color="auto" w:fill="auto"/>
            <w:noWrap/>
            <w:vAlign w:val="bottom"/>
            <w:hideMark/>
          </w:tcPr>
          <w:p w:rsidR="005009C7" w:rsidRPr="00343F01" w:rsidRDefault="005009C7" w:rsidP="00AE0BAB">
            <w:pPr>
              <w:rPr>
                <w:rFonts w:ascii="Arial" w:hAnsi="Arial" w:cs="Arial"/>
                <w:sz w:val="22"/>
                <w:szCs w:val="22"/>
              </w:rPr>
            </w:pPr>
            <w:r w:rsidRPr="00343F01">
              <w:rPr>
                <w:rFonts w:ascii="Arial" w:hAnsi="Arial" w:cs="Arial"/>
                <w:sz w:val="22"/>
                <w:szCs w:val="22"/>
                <w:lang w:val="en-IN"/>
              </w:rPr>
              <w:t> </w:t>
            </w:r>
          </w:p>
        </w:tc>
        <w:tc>
          <w:tcPr>
            <w:tcW w:w="1435"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rPr>
                <w:rFonts w:ascii="Arial" w:hAnsi="Arial" w:cs="Arial"/>
                <w:sz w:val="22"/>
                <w:szCs w:val="22"/>
              </w:rPr>
            </w:pPr>
            <w:r w:rsidRPr="00343F01">
              <w:rPr>
                <w:rFonts w:ascii="Arial" w:hAnsi="Arial" w:cs="Arial"/>
                <w:sz w:val="22"/>
                <w:szCs w:val="22"/>
                <w:lang w:val="en-IN"/>
              </w:rPr>
              <w:t> </w:t>
            </w:r>
          </w:p>
        </w:tc>
        <w:tc>
          <w:tcPr>
            <w:tcW w:w="1234"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rPr>
                <w:rFonts w:ascii="Arial" w:hAnsi="Arial" w:cs="Arial"/>
                <w:sz w:val="22"/>
                <w:szCs w:val="22"/>
              </w:rPr>
            </w:pPr>
            <w:r w:rsidRPr="00343F01">
              <w:rPr>
                <w:rFonts w:ascii="Arial" w:hAnsi="Arial" w:cs="Arial"/>
                <w:sz w:val="22"/>
                <w:szCs w:val="22"/>
                <w:lang w:val="en-IN"/>
              </w:rPr>
              <w:t> </w:t>
            </w:r>
          </w:p>
        </w:tc>
        <w:tc>
          <w:tcPr>
            <w:tcW w:w="1158"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rPr>
                <w:rFonts w:ascii="Arial" w:hAnsi="Arial" w:cs="Arial"/>
                <w:sz w:val="22"/>
                <w:szCs w:val="22"/>
              </w:rPr>
            </w:pPr>
            <w:r w:rsidRPr="00343F01">
              <w:rPr>
                <w:rFonts w:ascii="Arial" w:hAnsi="Arial" w:cs="Arial"/>
                <w:sz w:val="22"/>
                <w:szCs w:val="22"/>
                <w:lang w:val="en-IN"/>
              </w:rPr>
              <w:t> </w:t>
            </w:r>
          </w:p>
        </w:tc>
        <w:tc>
          <w:tcPr>
            <w:tcW w:w="1191"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rPr>
                <w:rFonts w:ascii="Arial" w:hAnsi="Arial" w:cs="Arial"/>
                <w:sz w:val="22"/>
                <w:szCs w:val="22"/>
              </w:rPr>
            </w:pPr>
            <w:r w:rsidRPr="00343F01">
              <w:rPr>
                <w:rFonts w:ascii="Arial" w:hAnsi="Arial" w:cs="Arial"/>
                <w:sz w:val="22"/>
                <w:szCs w:val="22"/>
                <w:lang w:val="en-IN"/>
              </w:rPr>
              <w:t> </w:t>
            </w:r>
          </w:p>
        </w:tc>
        <w:tc>
          <w:tcPr>
            <w:tcW w:w="1139"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rPr>
                <w:rFonts w:ascii="Arial" w:hAnsi="Arial" w:cs="Arial"/>
                <w:sz w:val="22"/>
                <w:szCs w:val="22"/>
              </w:rPr>
            </w:pPr>
            <w:r w:rsidRPr="00343F01">
              <w:rPr>
                <w:rFonts w:ascii="Arial" w:hAnsi="Arial" w:cs="Arial"/>
                <w:sz w:val="22"/>
                <w:szCs w:val="22"/>
                <w:lang w:val="en-IN"/>
              </w:rPr>
              <w:t> </w:t>
            </w:r>
          </w:p>
        </w:tc>
      </w:tr>
      <w:tr w:rsidR="005009C7" w:rsidRPr="00343F01" w:rsidTr="00C66C5A">
        <w:trPr>
          <w:trHeight w:val="315"/>
        </w:trPr>
        <w:tc>
          <w:tcPr>
            <w:tcW w:w="2325" w:type="dxa"/>
            <w:tcBorders>
              <w:top w:val="nil"/>
              <w:left w:val="single" w:sz="8" w:space="0" w:color="auto"/>
              <w:bottom w:val="single" w:sz="8" w:space="0" w:color="auto"/>
              <w:right w:val="single" w:sz="8" w:space="0" w:color="auto"/>
            </w:tcBorders>
            <w:shd w:val="clear" w:color="auto" w:fill="auto"/>
            <w:noWrap/>
            <w:vAlign w:val="bottom"/>
            <w:hideMark/>
          </w:tcPr>
          <w:p w:rsidR="005009C7" w:rsidRPr="00343F01" w:rsidRDefault="005009C7" w:rsidP="00AE0BAB">
            <w:pPr>
              <w:rPr>
                <w:rFonts w:ascii="Arial" w:hAnsi="Arial" w:cs="Arial"/>
                <w:sz w:val="22"/>
                <w:szCs w:val="22"/>
              </w:rPr>
            </w:pPr>
            <w:r w:rsidRPr="00343F01">
              <w:rPr>
                <w:rFonts w:ascii="Arial" w:hAnsi="Arial" w:cs="Arial"/>
                <w:sz w:val="22"/>
                <w:szCs w:val="22"/>
                <w:lang w:val="en-IN"/>
              </w:rPr>
              <w:t>Recruitment during 15-16</w:t>
            </w:r>
          </w:p>
        </w:tc>
        <w:tc>
          <w:tcPr>
            <w:tcW w:w="1435"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0</w:t>
            </w:r>
          </w:p>
        </w:tc>
        <w:tc>
          <w:tcPr>
            <w:tcW w:w="1234"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0</w:t>
            </w:r>
          </w:p>
        </w:tc>
        <w:tc>
          <w:tcPr>
            <w:tcW w:w="1158"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50</w:t>
            </w:r>
          </w:p>
        </w:tc>
        <w:tc>
          <w:tcPr>
            <w:tcW w:w="1191"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50</w:t>
            </w:r>
          </w:p>
        </w:tc>
        <w:tc>
          <w:tcPr>
            <w:tcW w:w="1139"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100</w:t>
            </w:r>
          </w:p>
        </w:tc>
      </w:tr>
      <w:tr w:rsidR="005009C7" w:rsidRPr="00343F01" w:rsidTr="00C66C5A">
        <w:trPr>
          <w:trHeight w:val="315"/>
        </w:trPr>
        <w:tc>
          <w:tcPr>
            <w:tcW w:w="2325" w:type="dxa"/>
            <w:tcBorders>
              <w:top w:val="nil"/>
              <w:left w:val="single" w:sz="8" w:space="0" w:color="auto"/>
              <w:bottom w:val="single" w:sz="8" w:space="0" w:color="auto"/>
              <w:right w:val="single" w:sz="8" w:space="0" w:color="auto"/>
            </w:tcBorders>
            <w:shd w:val="clear" w:color="auto" w:fill="auto"/>
            <w:noWrap/>
            <w:vAlign w:val="bottom"/>
            <w:hideMark/>
          </w:tcPr>
          <w:p w:rsidR="005009C7" w:rsidRPr="00343F01" w:rsidRDefault="005009C7" w:rsidP="00AE0BAB">
            <w:pPr>
              <w:rPr>
                <w:rFonts w:ascii="Arial" w:hAnsi="Arial" w:cs="Arial"/>
                <w:sz w:val="22"/>
                <w:szCs w:val="22"/>
              </w:rPr>
            </w:pPr>
            <w:r w:rsidRPr="00343F01">
              <w:rPr>
                <w:rFonts w:ascii="Arial" w:hAnsi="Arial" w:cs="Arial"/>
                <w:sz w:val="22"/>
                <w:szCs w:val="22"/>
                <w:lang w:val="en-IN"/>
              </w:rPr>
              <w:t>Retirement during 15-16</w:t>
            </w:r>
          </w:p>
        </w:tc>
        <w:tc>
          <w:tcPr>
            <w:tcW w:w="1435"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0</w:t>
            </w:r>
          </w:p>
        </w:tc>
        <w:tc>
          <w:tcPr>
            <w:tcW w:w="1234"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0</w:t>
            </w:r>
          </w:p>
        </w:tc>
        <w:tc>
          <w:tcPr>
            <w:tcW w:w="1158"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81</w:t>
            </w:r>
          </w:p>
        </w:tc>
        <w:tc>
          <w:tcPr>
            <w:tcW w:w="1191"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3</w:t>
            </w:r>
          </w:p>
        </w:tc>
        <w:tc>
          <w:tcPr>
            <w:tcW w:w="1139"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84</w:t>
            </w:r>
          </w:p>
        </w:tc>
      </w:tr>
      <w:tr w:rsidR="005009C7" w:rsidRPr="00343F01" w:rsidTr="00C66C5A">
        <w:trPr>
          <w:trHeight w:val="315"/>
        </w:trPr>
        <w:tc>
          <w:tcPr>
            <w:tcW w:w="2325" w:type="dxa"/>
            <w:tcBorders>
              <w:top w:val="nil"/>
              <w:left w:val="single" w:sz="8" w:space="0" w:color="auto"/>
              <w:bottom w:val="single" w:sz="8" w:space="0" w:color="auto"/>
              <w:right w:val="single" w:sz="8" w:space="0" w:color="auto"/>
            </w:tcBorders>
            <w:shd w:val="clear" w:color="auto" w:fill="auto"/>
            <w:noWrap/>
            <w:vAlign w:val="bottom"/>
            <w:hideMark/>
          </w:tcPr>
          <w:p w:rsidR="005009C7" w:rsidRPr="00343F01" w:rsidRDefault="005009C7" w:rsidP="00AE0BAB">
            <w:pPr>
              <w:rPr>
                <w:rFonts w:ascii="Arial" w:hAnsi="Arial" w:cs="Arial"/>
                <w:sz w:val="22"/>
                <w:szCs w:val="22"/>
              </w:rPr>
            </w:pPr>
            <w:r w:rsidRPr="00343F01">
              <w:rPr>
                <w:rFonts w:ascii="Arial" w:hAnsi="Arial" w:cs="Arial"/>
                <w:sz w:val="22"/>
                <w:szCs w:val="22"/>
                <w:lang w:val="en-IN"/>
              </w:rPr>
              <w:t>As on 01-04-16</w:t>
            </w:r>
          </w:p>
        </w:tc>
        <w:tc>
          <w:tcPr>
            <w:tcW w:w="1435"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362</w:t>
            </w:r>
          </w:p>
        </w:tc>
        <w:tc>
          <w:tcPr>
            <w:tcW w:w="1234"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88</w:t>
            </w:r>
          </w:p>
        </w:tc>
        <w:tc>
          <w:tcPr>
            <w:tcW w:w="1158"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2362</w:t>
            </w:r>
          </w:p>
        </w:tc>
        <w:tc>
          <w:tcPr>
            <w:tcW w:w="1191"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320</w:t>
            </w:r>
          </w:p>
        </w:tc>
        <w:tc>
          <w:tcPr>
            <w:tcW w:w="1139" w:type="dxa"/>
            <w:tcBorders>
              <w:top w:val="nil"/>
              <w:left w:val="nil"/>
              <w:bottom w:val="single" w:sz="8" w:space="0" w:color="auto"/>
              <w:right w:val="single" w:sz="8" w:space="0" w:color="auto"/>
            </w:tcBorders>
            <w:shd w:val="clear" w:color="auto" w:fill="auto"/>
            <w:noWrap/>
            <w:vAlign w:val="bottom"/>
            <w:hideMark/>
          </w:tcPr>
          <w:p w:rsidR="005009C7" w:rsidRPr="00343F01" w:rsidRDefault="005009C7" w:rsidP="00AE0BAB">
            <w:pPr>
              <w:jc w:val="right"/>
              <w:rPr>
                <w:rFonts w:ascii="Arial" w:hAnsi="Arial" w:cs="Arial"/>
                <w:sz w:val="22"/>
                <w:szCs w:val="22"/>
              </w:rPr>
            </w:pPr>
            <w:r w:rsidRPr="00343F01">
              <w:rPr>
                <w:rFonts w:ascii="Arial" w:hAnsi="Arial" w:cs="Arial"/>
                <w:sz w:val="22"/>
                <w:szCs w:val="22"/>
                <w:lang w:val="en-IN"/>
              </w:rPr>
              <w:t>3132</w:t>
            </w:r>
          </w:p>
        </w:tc>
      </w:tr>
    </w:tbl>
    <w:p w:rsidR="005009C7" w:rsidRPr="00343F01" w:rsidRDefault="005009C7" w:rsidP="00C66C5A">
      <w:pPr>
        <w:pStyle w:val="BodyText2"/>
        <w:spacing w:line="360" w:lineRule="auto"/>
        <w:jc w:val="both"/>
        <w:rPr>
          <w:rFonts w:cs="Arial"/>
          <w:sz w:val="22"/>
          <w:szCs w:val="22"/>
        </w:rPr>
      </w:pPr>
      <w:r w:rsidRPr="00343F01">
        <w:rPr>
          <w:rFonts w:cs="Arial"/>
          <w:sz w:val="22"/>
          <w:szCs w:val="22"/>
        </w:rPr>
        <w:t>No of employees retiring during FY 2014-15 and FY 2015-16 and saving on account of same are as follows:</w:t>
      </w:r>
    </w:p>
    <w:p w:rsidR="005009C7" w:rsidRPr="00343F01" w:rsidRDefault="005009C7" w:rsidP="005009C7">
      <w:pPr>
        <w:pStyle w:val="Footer"/>
        <w:tabs>
          <w:tab w:val="clear" w:pos="4320"/>
          <w:tab w:val="clear" w:pos="8640"/>
        </w:tabs>
        <w:spacing w:line="360" w:lineRule="auto"/>
        <w:jc w:val="both"/>
        <w:rPr>
          <w:rFonts w:ascii="Arial" w:hAnsi="Arial" w:cs="Arial"/>
          <w:sz w:val="22"/>
          <w:szCs w:val="22"/>
        </w:rPr>
      </w:pPr>
    </w:p>
    <w:tbl>
      <w:tblPr>
        <w:tblW w:w="67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70"/>
        <w:gridCol w:w="1744"/>
        <w:gridCol w:w="1734"/>
        <w:gridCol w:w="2102"/>
      </w:tblGrid>
      <w:tr w:rsidR="005009C7" w:rsidRPr="00343F01" w:rsidTr="00AE0BAB">
        <w:trPr>
          <w:tblHeader/>
        </w:trPr>
        <w:tc>
          <w:tcPr>
            <w:tcW w:w="1170" w:type="dxa"/>
            <w:shd w:val="clear" w:color="auto" w:fill="FFFFFF"/>
          </w:tcPr>
          <w:p w:rsidR="005009C7" w:rsidRPr="00343F01" w:rsidRDefault="005009C7" w:rsidP="00AE0BAB">
            <w:pPr>
              <w:pStyle w:val="Footer"/>
              <w:tabs>
                <w:tab w:val="clear" w:pos="4320"/>
                <w:tab w:val="clear" w:pos="8640"/>
              </w:tabs>
              <w:jc w:val="both"/>
              <w:rPr>
                <w:rFonts w:ascii="Arial" w:hAnsi="Arial" w:cs="Arial"/>
                <w:b/>
                <w:sz w:val="22"/>
                <w:szCs w:val="22"/>
              </w:rPr>
            </w:pPr>
            <w:r w:rsidRPr="00343F01">
              <w:rPr>
                <w:rFonts w:ascii="Arial" w:hAnsi="Arial" w:cs="Arial"/>
                <w:b/>
                <w:sz w:val="22"/>
                <w:szCs w:val="22"/>
              </w:rPr>
              <w:t>FY</w:t>
            </w:r>
          </w:p>
        </w:tc>
        <w:tc>
          <w:tcPr>
            <w:tcW w:w="1744" w:type="dxa"/>
            <w:shd w:val="clear" w:color="auto" w:fill="FFFFFF"/>
          </w:tcPr>
          <w:p w:rsidR="005009C7" w:rsidRPr="00343F01" w:rsidRDefault="005009C7" w:rsidP="00AE0BAB">
            <w:pPr>
              <w:pStyle w:val="Footer"/>
              <w:tabs>
                <w:tab w:val="clear" w:pos="4320"/>
                <w:tab w:val="clear" w:pos="8640"/>
              </w:tabs>
              <w:jc w:val="both"/>
              <w:rPr>
                <w:rFonts w:ascii="Arial" w:hAnsi="Arial" w:cs="Arial"/>
                <w:b/>
                <w:sz w:val="22"/>
                <w:szCs w:val="22"/>
              </w:rPr>
            </w:pPr>
            <w:r w:rsidRPr="00343F01">
              <w:rPr>
                <w:rFonts w:ascii="Arial" w:hAnsi="Arial" w:cs="Arial"/>
                <w:b/>
                <w:sz w:val="22"/>
                <w:szCs w:val="22"/>
              </w:rPr>
              <w:t>Category</w:t>
            </w:r>
          </w:p>
        </w:tc>
        <w:tc>
          <w:tcPr>
            <w:tcW w:w="1734" w:type="dxa"/>
            <w:shd w:val="clear" w:color="auto" w:fill="FFFFFF"/>
          </w:tcPr>
          <w:p w:rsidR="005009C7" w:rsidRPr="00343F01" w:rsidRDefault="005009C7" w:rsidP="00AE0BAB">
            <w:pPr>
              <w:pStyle w:val="Footer"/>
              <w:tabs>
                <w:tab w:val="clear" w:pos="4320"/>
                <w:tab w:val="clear" w:pos="8640"/>
              </w:tabs>
              <w:jc w:val="both"/>
              <w:rPr>
                <w:rFonts w:ascii="Arial" w:hAnsi="Arial" w:cs="Arial"/>
                <w:b/>
                <w:sz w:val="22"/>
                <w:szCs w:val="22"/>
              </w:rPr>
            </w:pPr>
            <w:r w:rsidRPr="00343F01">
              <w:rPr>
                <w:rFonts w:ascii="Arial" w:hAnsi="Arial" w:cs="Arial"/>
                <w:b/>
                <w:sz w:val="22"/>
                <w:szCs w:val="22"/>
              </w:rPr>
              <w:t>Nos. to be recruited</w:t>
            </w:r>
          </w:p>
        </w:tc>
        <w:tc>
          <w:tcPr>
            <w:tcW w:w="2102" w:type="dxa"/>
            <w:shd w:val="clear" w:color="auto" w:fill="FFFFFF"/>
          </w:tcPr>
          <w:p w:rsidR="005009C7" w:rsidRPr="00343F01" w:rsidRDefault="005009C7" w:rsidP="00AE0BAB">
            <w:pPr>
              <w:pStyle w:val="Footer"/>
              <w:tabs>
                <w:tab w:val="clear" w:pos="4320"/>
                <w:tab w:val="clear" w:pos="8640"/>
              </w:tabs>
              <w:ind w:firstLine="194"/>
              <w:jc w:val="both"/>
              <w:rPr>
                <w:rFonts w:ascii="Arial" w:hAnsi="Arial" w:cs="Arial"/>
                <w:b/>
                <w:sz w:val="22"/>
                <w:szCs w:val="22"/>
              </w:rPr>
            </w:pPr>
            <w:r w:rsidRPr="00343F01">
              <w:rPr>
                <w:rFonts w:ascii="Arial" w:hAnsi="Arial" w:cs="Arial"/>
                <w:b/>
                <w:sz w:val="22"/>
                <w:szCs w:val="22"/>
              </w:rPr>
              <w:t>Financial impact (Rs lacs)</w:t>
            </w:r>
          </w:p>
        </w:tc>
      </w:tr>
      <w:tr w:rsidR="005009C7" w:rsidRPr="00343F01" w:rsidTr="00AE0BAB">
        <w:tc>
          <w:tcPr>
            <w:tcW w:w="1170" w:type="dxa"/>
            <w:shd w:val="clear" w:color="auto" w:fill="FFFFFF"/>
          </w:tcPr>
          <w:p w:rsidR="005009C7" w:rsidRPr="00343F01" w:rsidRDefault="005009C7" w:rsidP="00AE0BAB">
            <w:pPr>
              <w:pStyle w:val="Footer"/>
              <w:tabs>
                <w:tab w:val="clear" w:pos="4320"/>
                <w:tab w:val="clear" w:pos="8640"/>
              </w:tabs>
              <w:jc w:val="both"/>
              <w:rPr>
                <w:rFonts w:ascii="Arial" w:hAnsi="Arial" w:cs="Arial"/>
                <w:sz w:val="22"/>
                <w:szCs w:val="22"/>
              </w:rPr>
            </w:pPr>
            <w:r w:rsidRPr="00343F01">
              <w:rPr>
                <w:rFonts w:ascii="Arial" w:hAnsi="Arial" w:cs="Arial"/>
                <w:sz w:val="22"/>
                <w:szCs w:val="22"/>
              </w:rPr>
              <w:t>2014-15</w:t>
            </w:r>
          </w:p>
        </w:tc>
        <w:tc>
          <w:tcPr>
            <w:tcW w:w="1744" w:type="dxa"/>
            <w:shd w:val="clear" w:color="auto" w:fill="FFFFFF"/>
          </w:tcPr>
          <w:p w:rsidR="005009C7" w:rsidRPr="00343F01" w:rsidRDefault="005009C7" w:rsidP="00AE0BAB">
            <w:pPr>
              <w:pStyle w:val="Footer"/>
              <w:tabs>
                <w:tab w:val="clear" w:pos="4320"/>
                <w:tab w:val="clear" w:pos="8640"/>
              </w:tabs>
              <w:jc w:val="both"/>
              <w:rPr>
                <w:rFonts w:ascii="Arial" w:hAnsi="Arial" w:cs="Arial"/>
                <w:sz w:val="22"/>
                <w:szCs w:val="22"/>
              </w:rPr>
            </w:pPr>
            <w:r w:rsidRPr="00343F01">
              <w:rPr>
                <w:rFonts w:ascii="Arial" w:hAnsi="Arial" w:cs="Arial"/>
                <w:sz w:val="22"/>
                <w:szCs w:val="22"/>
              </w:rPr>
              <w:t>Executive</w:t>
            </w:r>
          </w:p>
          <w:p w:rsidR="005009C7" w:rsidRPr="00343F01" w:rsidRDefault="005009C7" w:rsidP="00AE0BAB">
            <w:pPr>
              <w:pStyle w:val="Footer"/>
              <w:tabs>
                <w:tab w:val="clear" w:pos="4320"/>
                <w:tab w:val="clear" w:pos="8640"/>
              </w:tabs>
              <w:jc w:val="both"/>
              <w:rPr>
                <w:rFonts w:ascii="Arial" w:hAnsi="Arial" w:cs="Arial"/>
                <w:sz w:val="22"/>
                <w:szCs w:val="22"/>
              </w:rPr>
            </w:pPr>
            <w:r w:rsidRPr="00343F01">
              <w:rPr>
                <w:rFonts w:ascii="Arial" w:hAnsi="Arial" w:cs="Arial"/>
                <w:sz w:val="22"/>
                <w:szCs w:val="22"/>
              </w:rPr>
              <w:t>Non Executive</w:t>
            </w:r>
          </w:p>
        </w:tc>
        <w:tc>
          <w:tcPr>
            <w:tcW w:w="1734" w:type="dxa"/>
            <w:shd w:val="clear" w:color="auto" w:fill="FFFFFF"/>
          </w:tcPr>
          <w:p w:rsidR="005009C7" w:rsidRPr="00343F01" w:rsidRDefault="005009C7" w:rsidP="00AE0BAB">
            <w:pPr>
              <w:pStyle w:val="Footer"/>
              <w:tabs>
                <w:tab w:val="clear" w:pos="4320"/>
                <w:tab w:val="clear" w:pos="8640"/>
              </w:tabs>
              <w:jc w:val="center"/>
              <w:rPr>
                <w:rFonts w:ascii="Arial" w:hAnsi="Arial" w:cs="Arial"/>
                <w:sz w:val="22"/>
                <w:szCs w:val="22"/>
              </w:rPr>
            </w:pPr>
            <w:r w:rsidRPr="00343F01">
              <w:rPr>
                <w:rFonts w:ascii="Arial" w:hAnsi="Arial" w:cs="Arial"/>
                <w:sz w:val="22"/>
                <w:szCs w:val="22"/>
              </w:rPr>
              <w:t>-</w:t>
            </w:r>
          </w:p>
          <w:p w:rsidR="005009C7" w:rsidRPr="00343F01" w:rsidRDefault="005009C7" w:rsidP="00AE0BAB">
            <w:pPr>
              <w:pStyle w:val="Footer"/>
              <w:tabs>
                <w:tab w:val="clear" w:pos="4320"/>
                <w:tab w:val="clear" w:pos="8640"/>
              </w:tabs>
              <w:jc w:val="center"/>
              <w:rPr>
                <w:rFonts w:ascii="Arial" w:hAnsi="Arial" w:cs="Arial"/>
                <w:sz w:val="22"/>
                <w:szCs w:val="22"/>
              </w:rPr>
            </w:pPr>
            <w:r w:rsidRPr="00343F01">
              <w:rPr>
                <w:rFonts w:ascii="Arial" w:hAnsi="Arial" w:cs="Arial"/>
                <w:sz w:val="22"/>
                <w:szCs w:val="22"/>
              </w:rPr>
              <w:t>122</w:t>
            </w:r>
          </w:p>
        </w:tc>
        <w:tc>
          <w:tcPr>
            <w:tcW w:w="2102" w:type="dxa"/>
            <w:shd w:val="clear" w:color="auto" w:fill="FFFFFF"/>
          </w:tcPr>
          <w:p w:rsidR="005009C7" w:rsidRPr="00343F01" w:rsidRDefault="005009C7" w:rsidP="00AE0BAB">
            <w:pPr>
              <w:pStyle w:val="Footer"/>
              <w:tabs>
                <w:tab w:val="clear" w:pos="4320"/>
                <w:tab w:val="clear" w:pos="8640"/>
              </w:tabs>
              <w:jc w:val="center"/>
              <w:rPr>
                <w:rFonts w:ascii="Arial" w:hAnsi="Arial" w:cs="Arial"/>
                <w:sz w:val="22"/>
                <w:szCs w:val="22"/>
              </w:rPr>
            </w:pPr>
            <w:r w:rsidRPr="00343F01">
              <w:rPr>
                <w:rFonts w:ascii="Arial" w:hAnsi="Arial" w:cs="Arial"/>
                <w:sz w:val="22"/>
                <w:szCs w:val="22"/>
              </w:rPr>
              <w:t>-</w:t>
            </w:r>
          </w:p>
          <w:p w:rsidR="005009C7" w:rsidRPr="00343F01" w:rsidRDefault="005009C7" w:rsidP="00AE0BAB">
            <w:pPr>
              <w:pStyle w:val="Footer"/>
              <w:tabs>
                <w:tab w:val="clear" w:pos="4320"/>
                <w:tab w:val="clear" w:pos="8640"/>
              </w:tabs>
              <w:jc w:val="center"/>
              <w:rPr>
                <w:rFonts w:ascii="Arial" w:hAnsi="Arial" w:cs="Arial"/>
                <w:sz w:val="22"/>
                <w:szCs w:val="22"/>
              </w:rPr>
            </w:pPr>
            <w:r w:rsidRPr="00343F01">
              <w:rPr>
                <w:rFonts w:ascii="Arial" w:hAnsi="Arial" w:cs="Arial"/>
                <w:sz w:val="22"/>
                <w:szCs w:val="22"/>
              </w:rPr>
              <w:t>43.92</w:t>
            </w:r>
          </w:p>
        </w:tc>
      </w:tr>
      <w:tr w:rsidR="005009C7" w:rsidRPr="00343F01" w:rsidTr="00AE0BAB">
        <w:tc>
          <w:tcPr>
            <w:tcW w:w="1170" w:type="dxa"/>
            <w:shd w:val="clear" w:color="auto" w:fill="FFFFFF"/>
          </w:tcPr>
          <w:p w:rsidR="005009C7" w:rsidRPr="00343F01" w:rsidRDefault="005009C7" w:rsidP="00AE0BAB">
            <w:pPr>
              <w:pStyle w:val="Footer"/>
              <w:tabs>
                <w:tab w:val="clear" w:pos="4320"/>
                <w:tab w:val="clear" w:pos="8640"/>
              </w:tabs>
              <w:jc w:val="both"/>
              <w:rPr>
                <w:rFonts w:ascii="Arial" w:hAnsi="Arial" w:cs="Arial"/>
                <w:sz w:val="22"/>
                <w:szCs w:val="22"/>
              </w:rPr>
            </w:pPr>
            <w:r w:rsidRPr="00343F01">
              <w:rPr>
                <w:rFonts w:ascii="Arial" w:hAnsi="Arial" w:cs="Arial"/>
                <w:sz w:val="22"/>
                <w:szCs w:val="22"/>
              </w:rPr>
              <w:t>2015-16</w:t>
            </w:r>
          </w:p>
        </w:tc>
        <w:tc>
          <w:tcPr>
            <w:tcW w:w="1744" w:type="dxa"/>
            <w:shd w:val="clear" w:color="auto" w:fill="FFFFFF"/>
          </w:tcPr>
          <w:p w:rsidR="005009C7" w:rsidRPr="00343F01" w:rsidRDefault="005009C7" w:rsidP="00AE0BAB">
            <w:pPr>
              <w:pStyle w:val="Footer"/>
              <w:tabs>
                <w:tab w:val="clear" w:pos="4320"/>
                <w:tab w:val="clear" w:pos="8640"/>
              </w:tabs>
              <w:jc w:val="both"/>
              <w:rPr>
                <w:rFonts w:ascii="Arial" w:hAnsi="Arial" w:cs="Arial"/>
                <w:sz w:val="22"/>
                <w:szCs w:val="22"/>
              </w:rPr>
            </w:pPr>
            <w:r w:rsidRPr="00343F01">
              <w:rPr>
                <w:rFonts w:ascii="Arial" w:hAnsi="Arial" w:cs="Arial"/>
                <w:sz w:val="22"/>
                <w:szCs w:val="22"/>
              </w:rPr>
              <w:t>Executive</w:t>
            </w:r>
          </w:p>
          <w:p w:rsidR="005009C7" w:rsidRPr="00343F01" w:rsidRDefault="005009C7" w:rsidP="00AE0BAB">
            <w:pPr>
              <w:pStyle w:val="Footer"/>
              <w:tabs>
                <w:tab w:val="clear" w:pos="4320"/>
                <w:tab w:val="clear" w:pos="8640"/>
              </w:tabs>
              <w:jc w:val="both"/>
              <w:rPr>
                <w:rFonts w:ascii="Arial" w:hAnsi="Arial" w:cs="Arial"/>
                <w:sz w:val="22"/>
                <w:szCs w:val="22"/>
              </w:rPr>
            </w:pPr>
            <w:r w:rsidRPr="00343F01">
              <w:rPr>
                <w:rFonts w:ascii="Arial" w:hAnsi="Arial" w:cs="Arial"/>
                <w:sz w:val="22"/>
                <w:szCs w:val="22"/>
              </w:rPr>
              <w:t>Non Executive</w:t>
            </w:r>
          </w:p>
        </w:tc>
        <w:tc>
          <w:tcPr>
            <w:tcW w:w="1734" w:type="dxa"/>
            <w:shd w:val="clear" w:color="auto" w:fill="FFFFFF"/>
          </w:tcPr>
          <w:p w:rsidR="005009C7" w:rsidRPr="00343F01" w:rsidRDefault="005009C7" w:rsidP="00AE0BAB">
            <w:pPr>
              <w:pStyle w:val="Footer"/>
              <w:tabs>
                <w:tab w:val="clear" w:pos="4320"/>
                <w:tab w:val="clear" w:pos="8640"/>
              </w:tabs>
              <w:jc w:val="center"/>
              <w:rPr>
                <w:rFonts w:ascii="Arial" w:hAnsi="Arial" w:cs="Arial"/>
                <w:sz w:val="22"/>
                <w:szCs w:val="22"/>
              </w:rPr>
            </w:pPr>
            <w:r w:rsidRPr="00343F01">
              <w:rPr>
                <w:rFonts w:ascii="Arial" w:hAnsi="Arial" w:cs="Arial"/>
                <w:sz w:val="22"/>
                <w:szCs w:val="22"/>
              </w:rPr>
              <w:t>-</w:t>
            </w:r>
          </w:p>
          <w:p w:rsidR="005009C7" w:rsidRPr="00343F01" w:rsidRDefault="005009C7" w:rsidP="00AE0BAB">
            <w:pPr>
              <w:pStyle w:val="Footer"/>
              <w:tabs>
                <w:tab w:val="clear" w:pos="4320"/>
                <w:tab w:val="clear" w:pos="8640"/>
              </w:tabs>
              <w:jc w:val="center"/>
              <w:rPr>
                <w:rFonts w:ascii="Arial" w:hAnsi="Arial" w:cs="Arial"/>
                <w:sz w:val="22"/>
                <w:szCs w:val="22"/>
              </w:rPr>
            </w:pPr>
            <w:r w:rsidRPr="00343F01">
              <w:rPr>
                <w:rFonts w:ascii="Arial" w:hAnsi="Arial" w:cs="Arial"/>
                <w:sz w:val="22"/>
                <w:szCs w:val="22"/>
              </w:rPr>
              <w:t>84</w:t>
            </w:r>
          </w:p>
        </w:tc>
        <w:tc>
          <w:tcPr>
            <w:tcW w:w="2102" w:type="dxa"/>
            <w:shd w:val="clear" w:color="auto" w:fill="FFFFFF"/>
          </w:tcPr>
          <w:p w:rsidR="005009C7" w:rsidRPr="00343F01" w:rsidRDefault="005009C7" w:rsidP="00AE0BAB">
            <w:pPr>
              <w:pStyle w:val="Footer"/>
              <w:tabs>
                <w:tab w:val="clear" w:pos="4320"/>
                <w:tab w:val="clear" w:pos="8640"/>
              </w:tabs>
              <w:jc w:val="center"/>
              <w:rPr>
                <w:rFonts w:ascii="Arial" w:hAnsi="Arial" w:cs="Arial"/>
                <w:sz w:val="22"/>
                <w:szCs w:val="22"/>
              </w:rPr>
            </w:pPr>
            <w:r w:rsidRPr="00343F01">
              <w:rPr>
                <w:rFonts w:ascii="Arial" w:hAnsi="Arial" w:cs="Arial"/>
                <w:sz w:val="22"/>
                <w:szCs w:val="22"/>
              </w:rPr>
              <w:t>-</w:t>
            </w:r>
          </w:p>
          <w:p w:rsidR="005009C7" w:rsidRPr="00343F01" w:rsidRDefault="005009C7" w:rsidP="00AE0BAB">
            <w:pPr>
              <w:pStyle w:val="Footer"/>
              <w:tabs>
                <w:tab w:val="clear" w:pos="4320"/>
                <w:tab w:val="clear" w:pos="8640"/>
              </w:tabs>
              <w:jc w:val="center"/>
              <w:rPr>
                <w:rFonts w:ascii="Arial" w:hAnsi="Arial" w:cs="Arial"/>
                <w:sz w:val="22"/>
                <w:szCs w:val="22"/>
              </w:rPr>
            </w:pPr>
            <w:r w:rsidRPr="00343F01">
              <w:rPr>
                <w:rFonts w:ascii="Arial" w:hAnsi="Arial" w:cs="Arial"/>
                <w:sz w:val="22"/>
                <w:szCs w:val="22"/>
              </w:rPr>
              <w:t>30.24</w:t>
            </w:r>
          </w:p>
        </w:tc>
      </w:tr>
    </w:tbl>
    <w:p w:rsidR="005009C7" w:rsidRPr="00343F01" w:rsidRDefault="005009C7" w:rsidP="005009C7">
      <w:pPr>
        <w:pStyle w:val="Footer"/>
        <w:tabs>
          <w:tab w:val="clear" w:pos="4320"/>
          <w:tab w:val="clear" w:pos="8640"/>
        </w:tabs>
        <w:spacing w:line="360" w:lineRule="auto"/>
        <w:jc w:val="both"/>
        <w:rPr>
          <w:rFonts w:ascii="Arial" w:hAnsi="Arial" w:cs="Arial"/>
          <w:sz w:val="22"/>
          <w:szCs w:val="22"/>
        </w:rPr>
      </w:pPr>
    </w:p>
    <w:p w:rsidR="00080240" w:rsidRPr="00D84D4B" w:rsidRDefault="00080240" w:rsidP="00D84D4B">
      <w:pPr>
        <w:pStyle w:val="Footer"/>
        <w:tabs>
          <w:tab w:val="clear" w:pos="4320"/>
          <w:tab w:val="clear" w:pos="8640"/>
        </w:tabs>
        <w:spacing w:line="360" w:lineRule="auto"/>
        <w:ind w:left="360"/>
        <w:jc w:val="both"/>
        <w:rPr>
          <w:rFonts w:ascii="Arial" w:hAnsi="Arial" w:cs="Arial"/>
          <w:b/>
          <w:sz w:val="22"/>
          <w:szCs w:val="22"/>
        </w:rPr>
      </w:pPr>
      <w:r w:rsidRPr="00D84D4B">
        <w:rPr>
          <w:rFonts w:ascii="Arial" w:hAnsi="Arial" w:cs="Arial"/>
          <w:b/>
          <w:sz w:val="22"/>
          <w:szCs w:val="22"/>
        </w:rPr>
        <w:t>Expenses Terminal Benefit Liability</w:t>
      </w:r>
    </w:p>
    <w:p w:rsidR="005009C7" w:rsidRPr="00D84D4B" w:rsidRDefault="005009C7" w:rsidP="00D84D4B">
      <w:pPr>
        <w:pStyle w:val="Footer"/>
        <w:tabs>
          <w:tab w:val="clear" w:pos="4320"/>
          <w:tab w:val="clear" w:pos="8640"/>
        </w:tabs>
        <w:spacing w:line="360" w:lineRule="auto"/>
        <w:ind w:left="360"/>
        <w:jc w:val="both"/>
        <w:rPr>
          <w:rFonts w:ascii="Arial" w:hAnsi="Arial" w:cs="Arial"/>
          <w:sz w:val="22"/>
          <w:szCs w:val="22"/>
        </w:rPr>
      </w:pPr>
      <w:r w:rsidRPr="00D84D4B">
        <w:rPr>
          <w:rFonts w:ascii="Arial" w:hAnsi="Arial" w:cs="Arial"/>
          <w:sz w:val="22"/>
          <w:szCs w:val="22"/>
        </w:rPr>
        <w:t>As regards to terminal benefits i.e. the contribution to the Pension Fund and Gratuity Fund and Leave Encashment has been proposed forthe year 2015-16 based on the actuarial valuation done by M/s</w:t>
      </w:r>
      <w:r w:rsidR="00B84716">
        <w:rPr>
          <w:rFonts w:ascii="Arial" w:hAnsi="Arial" w:cs="Arial"/>
          <w:sz w:val="22"/>
          <w:szCs w:val="22"/>
        </w:rPr>
        <w:t>.</w:t>
      </w:r>
      <w:r w:rsidRPr="00D84D4B">
        <w:rPr>
          <w:rFonts w:ascii="Arial" w:hAnsi="Arial" w:cs="Arial"/>
          <w:sz w:val="22"/>
          <w:szCs w:val="22"/>
        </w:rPr>
        <w:t xml:space="preserve"> Bhudev Chaterjee as on 31.03.2014 and the projections provided for 2014-15 and 2015-16. It is assumed that</w:t>
      </w:r>
      <w:r w:rsidR="00B84716">
        <w:rPr>
          <w:rFonts w:ascii="Arial" w:hAnsi="Arial" w:cs="Arial"/>
          <w:sz w:val="22"/>
          <w:szCs w:val="22"/>
        </w:rPr>
        <w:t>,</w:t>
      </w:r>
      <w:r w:rsidRPr="00D84D4B">
        <w:rPr>
          <w:rFonts w:ascii="Arial" w:hAnsi="Arial" w:cs="Arial"/>
          <w:sz w:val="22"/>
          <w:szCs w:val="22"/>
        </w:rPr>
        <w:t xml:space="preserve"> the trend in the requirement of Terminal Benefit corpus for the year 2014-15 shall continue as for the year 2015-16. The details are given in OERC Form: F-21. While computing the contribution required by the Licensee to fund the employees trust, the Actual investments as on 01.04.2014, estimated Investments as on 01.04.2015, income from the investments during the year 2015-16 and the payments during the 2015-16 has been considered. The computation of the employee Terminal Benefit Trusts requirement for the year 2014-15 &amp; 2015-16 amounting to Rs. 93.86 Crore and </w:t>
      </w:r>
      <w:r w:rsidR="00B84716">
        <w:rPr>
          <w:rFonts w:ascii="Arial" w:hAnsi="Arial" w:cs="Arial"/>
          <w:sz w:val="22"/>
          <w:szCs w:val="22"/>
        </w:rPr>
        <w:t xml:space="preserve">                   Rs, 90.96 Crores respectively </w:t>
      </w:r>
      <w:r w:rsidRPr="00D84D4B">
        <w:rPr>
          <w:rFonts w:ascii="Arial" w:hAnsi="Arial" w:cs="Arial"/>
          <w:sz w:val="22"/>
          <w:szCs w:val="22"/>
        </w:rPr>
        <w:t>is stated in the following table.</w:t>
      </w:r>
    </w:p>
    <w:tbl>
      <w:tblPr>
        <w:tblW w:w="8305"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115" w:type="dxa"/>
          <w:right w:w="115" w:type="dxa"/>
        </w:tblCellMar>
        <w:tblLook w:val="04A0"/>
      </w:tblPr>
      <w:tblGrid>
        <w:gridCol w:w="1375"/>
        <w:gridCol w:w="5025"/>
        <w:gridCol w:w="1905"/>
      </w:tblGrid>
      <w:tr w:rsidR="005009C7" w:rsidRPr="00343F01" w:rsidTr="00D84D4B">
        <w:trPr>
          <w:trHeight w:val="660"/>
        </w:trPr>
        <w:tc>
          <w:tcPr>
            <w:tcW w:w="1375" w:type="dxa"/>
            <w:shd w:val="solid" w:color="000080" w:fill="FFFFFF"/>
            <w:noWrap/>
            <w:hideMark/>
          </w:tcPr>
          <w:p w:rsidR="005009C7" w:rsidRPr="00343F01" w:rsidRDefault="005009C7" w:rsidP="00AE0BAB">
            <w:pPr>
              <w:spacing w:before="120" w:after="120"/>
              <w:rPr>
                <w:rFonts w:ascii="Arial" w:hAnsi="Arial" w:cs="Arial"/>
                <w:b/>
                <w:bCs/>
                <w:color w:val="FFFFFF"/>
                <w:sz w:val="22"/>
                <w:szCs w:val="22"/>
              </w:rPr>
            </w:pPr>
            <w:r w:rsidRPr="00343F01">
              <w:rPr>
                <w:rFonts w:ascii="Arial" w:hAnsi="Arial" w:cs="Arial"/>
                <w:b/>
                <w:bCs/>
                <w:color w:val="FFFFFF"/>
                <w:sz w:val="22"/>
                <w:szCs w:val="22"/>
                <w:lang w:val="en-IN"/>
              </w:rPr>
              <w:t>A</w:t>
            </w:r>
          </w:p>
        </w:tc>
        <w:tc>
          <w:tcPr>
            <w:tcW w:w="5025" w:type="dxa"/>
            <w:shd w:val="solid" w:color="000080" w:fill="FFFFFF"/>
            <w:hideMark/>
          </w:tcPr>
          <w:p w:rsidR="005009C7" w:rsidRPr="00343F01" w:rsidRDefault="005009C7" w:rsidP="00AE0BAB">
            <w:pPr>
              <w:spacing w:before="120" w:after="120"/>
              <w:rPr>
                <w:rFonts w:ascii="Arial" w:hAnsi="Arial" w:cs="Arial"/>
                <w:b/>
                <w:bCs/>
                <w:color w:val="FFFFFF"/>
                <w:sz w:val="22"/>
                <w:szCs w:val="22"/>
              </w:rPr>
            </w:pPr>
            <w:r w:rsidRPr="00343F01">
              <w:rPr>
                <w:rFonts w:ascii="Arial" w:hAnsi="Arial" w:cs="Arial"/>
                <w:b/>
                <w:bCs/>
                <w:color w:val="FFFFFF"/>
                <w:sz w:val="22"/>
                <w:szCs w:val="22"/>
                <w:lang w:val="en-IN"/>
              </w:rPr>
              <w:t xml:space="preserve">Terminal Liability for FY 2015-16         </w:t>
            </w:r>
          </w:p>
        </w:tc>
        <w:tc>
          <w:tcPr>
            <w:tcW w:w="1905" w:type="dxa"/>
            <w:shd w:val="solid" w:color="000080" w:fill="FFFFFF"/>
            <w:noWrap/>
            <w:hideMark/>
          </w:tcPr>
          <w:p w:rsidR="005009C7" w:rsidRPr="00343F01" w:rsidRDefault="005009C7" w:rsidP="00AE0BAB">
            <w:pPr>
              <w:spacing w:before="120" w:after="120"/>
              <w:rPr>
                <w:rFonts w:ascii="Arial" w:hAnsi="Arial" w:cs="Arial"/>
                <w:b/>
                <w:bCs/>
                <w:color w:val="FFFFFF"/>
                <w:sz w:val="22"/>
                <w:szCs w:val="22"/>
              </w:rPr>
            </w:pPr>
            <w:r w:rsidRPr="00343F01">
              <w:rPr>
                <w:rFonts w:ascii="Arial" w:hAnsi="Arial" w:cs="Arial"/>
                <w:b/>
                <w:bCs/>
                <w:color w:val="FFFFFF"/>
                <w:sz w:val="22"/>
                <w:szCs w:val="22"/>
                <w:lang w:val="en-IN"/>
              </w:rPr>
              <w:t>Rs. Crore</w:t>
            </w:r>
          </w:p>
        </w:tc>
      </w:tr>
      <w:tr w:rsidR="005009C7" w:rsidRPr="00343F01" w:rsidTr="00D84D4B">
        <w:trPr>
          <w:trHeight w:val="435"/>
        </w:trPr>
        <w:tc>
          <w:tcPr>
            <w:tcW w:w="1375" w:type="dxa"/>
            <w:shd w:val="clear" w:color="auto" w:fill="FFFFFF"/>
            <w:noWrap/>
            <w:hideMark/>
          </w:tcPr>
          <w:p w:rsidR="005009C7" w:rsidRPr="00343F01" w:rsidRDefault="005009C7" w:rsidP="00AE0BAB">
            <w:pPr>
              <w:spacing w:before="120" w:after="120"/>
              <w:jc w:val="right"/>
              <w:rPr>
                <w:rFonts w:ascii="Arial" w:hAnsi="Arial" w:cs="Arial"/>
                <w:sz w:val="22"/>
                <w:szCs w:val="22"/>
              </w:rPr>
            </w:pPr>
            <w:r w:rsidRPr="00343F01">
              <w:rPr>
                <w:rFonts w:ascii="Arial" w:hAnsi="Arial" w:cs="Arial"/>
                <w:sz w:val="22"/>
                <w:szCs w:val="22"/>
                <w:lang w:val="en-IN"/>
              </w:rPr>
              <w:t>1</w:t>
            </w:r>
          </w:p>
        </w:tc>
        <w:tc>
          <w:tcPr>
            <w:tcW w:w="5025" w:type="dxa"/>
            <w:shd w:val="clear" w:color="auto" w:fill="FFFFFF"/>
            <w:hideMark/>
          </w:tcPr>
          <w:p w:rsidR="005009C7" w:rsidRPr="00343F01" w:rsidRDefault="005009C7" w:rsidP="00AE0BAB">
            <w:pPr>
              <w:spacing w:before="120" w:after="120"/>
              <w:rPr>
                <w:rFonts w:ascii="Arial" w:hAnsi="Arial" w:cs="Arial"/>
                <w:sz w:val="22"/>
                <w:szCs w:val="22"/>
              </w:rPr>
            </w:pPr>
            <w:r w:rsidRPr="00343F01">
              <w:rPr>
                <w:rFonts w:ascii="Arial" w:hAnsi="Arial" w:cs="Arial"/>
                <w:sz w:val="22"/>
                <w:szCs w:val="22"/>
                <w:lang w:val="en-IN"/>
              </w:rPr>
              <w:t>Employee Trust Valuation as on 31.03.16</w:t>
            </w:r>
          </w:p>
        </w:tc>
        <w:tc>
          <w:tcPr>
            <w:tcW w:w="1905" w:type="dxa"/>
            <w:shd w:val="clear" w:color="auto" w:fill="FFFFFF"/>
            <w:noWrap/>
            <w:hideMark/>
          </w:tcPr>
          <w:p w:rsidR="005009C7" w:rsidRPr="00343F01" w:rsidRDefault="005009C7" w:rsidP="00AE0BAB">
            <w:pPr>
              <w:spacing w:before="120" w:after="120"/>
              <w:jc w:val="right"/>
              <w:rPr>
                <w:rFonts w:ascii="Arial" w:hAnsi="Arial" w:cs="Arial"/>
                <w:sz w:val="22"/>
                <w:szCs w:val="22"/>
              </w:rPr>
            </w:pPr>
            <w:r w:rsidRPr="00343F01">
              <w:rPr>
                <w:rFonts w:ascii="Arial" w:hAnsi="Arial" w:cs="Arial"/>
                <w:sz w:val="22"/>
                <w:szCs w:val="22"/>
              </w:rPr>
              <w:t>796.86</w:t>
            </w:r>
          </w:p>
        </w:tc>
      </w:tr>
      <w:tr w:rsidR="005009C7" w:rsidRPr="00343F01" w:rsidTr="00D84D4B">
        <w:trPr>
          <w:trHeight w:val="642"/>
        </w:trPr>
        <w:tc>
          <w:tcPr>
            <w:tcW w:w="1375" w:type="dxa"/>
            <w:shd w:val="clear" w:color="auto" w:fill="FFFFFF"/>
            <w:noWrap/>
            <w:hideMark/>
          </w:tcPr>
          <w:p w:rsidR="005009C7" w:rsidRPr="00343F01" w:rsidRDefault="005009C7" w:rsidP="00AE0BAB">
            <w:pPr>
              <w:spacing w:before="120" w:after="120"/>
              <w:jc w:val="right"/>
              <w:rPr>
                <w:rFonts w:ascii="Arial" w:hAnsi="Arial" w:cs="Arial"/>
                <w:sz w:val="22"/>
                <w:szCs w:val="22"/>
                <w:lang w:val="en-IN"/>
              </w:rPr>
            </w:pPr>
            <w:r w:rsidRPr="00343F01">
              <w:rPr>
                <w:rFonts w:ascii="Arial" w:hAnsi="Arial" w:cs="Arial"/>
                <w:sz w:val="22"/>
                <w:szCs w:val="22"/>
                <w:lang w:val="en-IN"/>
              </w:rPr>
              <w:lastRenderedPageBreak/>
              <w:t>2</w:t>
            </w:r>
          </w:p>
        </w:tc>
        <w:tc>
          <w:tcPr>
            <w:tcW w:w="5025" w:type="dxa"/>
            <w:shd w:val="clear" w:color="auto" w:fill="FFFFFF"/>
            <w:hideMark/>
          </w:tcPr>
          <w:p w:rsidR="005009C7" w:rsidRPr="00343F01" w:rsidRDefault="005009C7" w:rsidP="00AE0BAB">
            <w:pPr>
              <w:spacing w:before="120" w:after="120"/>
              <w:rPr>
                <w:rFonts w:ascii="Arial" w:hAnsi="Arial" w:cs="Arial"/>
                <w:sz w:val="22"/>
                <w:szCs w:val="22"/>
                <w:lang w:val="en-IN"/>
              </w:rPr>
            </w:pPr>
            <w:r w:rsidRPr="00343F01">
              <w:rPr>
                <w:rFonts w:ascii="Arial" w:hAnsi="Arial" w:cs="Arial"/>
                <w:sz w:val="22"/>
                <w:szCs w:val="22"/>
                <w:lang w:val="en-IN"/>
              </w:rPr>
              <w:t>Employee Trust Valuation as on 31.03.15</w:t>
            </w:r>
          </w:p>
        </w:tc>
        <w:tc>
          <w:tcPr>
            <w:tcW w:w="1905" w:type="dxa"/>
            <w:shd w:val="clear" w:color="auto" w:fill="FFFFFF"/>
            <w:noWrap/>
            <w:hideMark/>
          </w:tcPr>
          <w:p w:rsidR="005009C7" w:rsidRPr="00343F01" w:rsidRDefault="005009C7" w:rsidP="00AE0BAB">
            <w:pPr>
              <w:spacing w:before="120" w:after="120"/>
              <w:jc w:val="right"/>
              <w:rPr>
                <w:rFonts w:ascii="Arial" w:hAnsi="Arial" w:cs="Arial"/>
                <w:sz w:val="22"/>
                <w:szCs w:val="22"/>
                <w:lang w:val="en-IN"/>
              </w:rPr>
            </w:pPr>
            <w:r w:rsidRPr="00343F01">
              <w:rPr>
                <w:rFonts w:ascii="Arial" w:hAnsi="Arial" w:cs="Arial"/>
                <w:sz w:val="22"/>
                <w:szCs w:val="22"/>
                <w:lang w:val="en-IN"/>
              </w:rPr>
              <w:t>762.72</w:t>
            </w:r>
          </w:p>
        </w:tc>
      </w:tr>
      <w:tr w:rsidR="005009C7" w:rsidRPr="00343F01" w:rsidTr="00D84D4B">
        <w:trPr>
          <w:trHeight w:val="525"/>
        </w:trPr>
        <w:tc>
          <w:tcPr>
            <w:tcW w:w="1375" w:type="dxa"/>
            <w:shd w:val="clear" w:color="auto" w:fill="FFFFFF"/>
            <w:noWrap/>
            <w:hideMark/>
          </w:tcPr>
          <w:p w:rsidR="005009C7" w:rsidRPr="00343F01" w:rsidRDefault="005009C7" w:rsidP="00AE0BAB">
            <w:pPr>
              <w:spacing w:before="120" w:after="120"/>
              <w:jc w:val="right"/>
              <w:rPr>
                <w:rFonts w:ascii="Arial" w:hAnsi="Arial" w:cs="Arial"/>
                <w:sz w:val="22"/>
                <w:szCs w:val="22"/>
              </w:rPr>
            </w:pPr>
            <w:r w:rsidRPr="00343F01">
              <w:rPr>
                <w:rFonts w:ascii="Arial" w:hAnsi="Arial" w:cs="Arial"/>
                <w:sz w:val="22"/>
                <w:szCs w:val="22"/>
                <w:lang w:val="en-IN"/>
              </w:rPr>
              <w:t>3</w:t>
            </w:r>
          </w:p>
        </w:tc>
        <w:tc>
          <w:tcPr>
            <w:tcW w:w="5025" w:type="dxa"/>
            <w:shd w:val="clear" w:color="auto" w:fill="FFFFFF"/>
            <w:hideMark/>
          </w:tcPr>
          <w:p w:rsidR="005009C7" w:rsidRPr="00343F01" w:rsidRDefault="005009C7" w:rsidP="00AE0BAB">
            <w:pPr>
              <w:spacing w:before="120" w:after="120"/>
              <w:rPr>
                <w:rFonts w:ascii="Arial" w:hAnsi="Arial" w:cs="Arial"/>
                <w:sz w:val="22"/>
                <w:szCs w:val="22"/>
              </w:rPr>
            </w:pPr>
            <w:r w:rsidRPr="00343F01">
              <w:rPr>
                <w:rFonts w:ascii="Arial" w:hAnsi="Arial" w:cs="Arial"/>
                <w:sz w:val="22"/>
                <w:szCs w:val="22"/>
                <w:lang w:val="en-IN"/>
              </w:rPr>
              <w:t>Interest on inv</w:t>
            </w:r>
            <w:r w:rsidR="00E71C9D">
              <w:rPr>
                <w:rFonts w:ascii="Arial" w:hAnsi="Arial" w:cs="Arial"/>
                <w:sz w:val="22"/>
                <w:szCs w:val="22"/>
                <w:lang w:val="en-IN"/>
              </w:rPr>
              <w:t>e</w:t>
            </w:r>
            <w:r w:rsidRPr="00343F01">
              <w:rPr>
                <w:rFonts w:ascii="Arial" w:hAnsi="Arial" w:cs="Arial"/>
                <w:sz w:val="22"/>
                <w:szCs w:val="22"/>
                <w:lang w:val="en-IN"/>
              </w:rPr>
              <w:t>stm</w:t>
            </w:r>
            <w:r w:rsidR="00E71C9D">
              <w:rPr>
                <w:rFonts w:ascii="Arial" w:hAnsi="Arial" w:cs="Arial"/>
                <w:sz w:val="22"/>
                <w:szCs w:val="22"/>
                <w:lang w:val="en-IN"/>
              </w:rPr>
              <w:t>e</w:t>
            </w:r>
            <w:r w:rsidRPr="00343F01">
              <w:rPr>
                <w:rFonts w:ascii="Arial" w:hAnsi="Arial" w:cs="Arial"/>
                <w:sz w:val="22"/>
                <w:szCs w:val="22"/>
                <w:lang w:val="en-IN"/>
              </w:rPr>
              <w:t>nt during 2015-16 @ 8.5 %</w:t>
            </w:r>
          </w:p>
        </w:tc>
        <w:tc>
          <w:tcPr>
            <w:tcW w:w="1905" w:type="dxa"/>
            <w:shd w:val="clear" w:color="auto" w:fill="FFFFFF"/>
            <w:noWrap/>
            <w:hideMark/>
          </w:tcPr>
          <w:p w:rsidR="005009C7" w:rsidRPr="00343F01" w:rsidRDefault="005009C7" w:rsidP="00AE0BAB">
            <w:pPr>
              <w:spacing w:before="120" w:after="120"/>
              <w:jc w:val="right"/>
              <w:rPr>
                <w:rFonts w:ascii="Arial" w:hAnsi="Arial" w:cs="Arial"/>
                <w:sz w:val="22"/>
                <w:szCs w:val="22"/>
              </w:rPr>
            </w:pPr>
            <w:r w:rsidRPr="00343F01">
              <w:rPr>
                <w:rFonts w:ascii="Arial" w:hAnsi="Arial" w:cs="Arial"/>
                <w:sz w:val="22"/>
                <w:szCs w:val="22"/>
              </w:rPr>
              <w:t>8.99</w:t>
            </w:r>
          </w:p>
        </w:tc>
      </w:tr>
      <w:tr w:rsidR="005009C7" w:rsidRPr="00343F01" w:rsidTr="00D84D4B">
        <w:trPr>
          <w:trHeight w:val="426"/>
        </w:trPr>
        <w:tc>
          <w:tcPr>
            <w:tcW w:w="1375" w:type="dxa"/>
            <w:shd w:val="clear" w:color="auto" w:fill="FFFFFF"/>
            <w:noWrap/>
            <w:hideMark/>
          </w:tcPr>
          <w:p w:rsidR="005009C7" w:rsidRPr="00343F01" w:rsidRDefault="005009C7" w:rsidP="00AE0BAB">
            <w:pPr>
              <w:spacing w:before="120" w:after="120"/>
              <w:jc w:val="right"/>
              <w:rPr>
                <w:rFonts w:ascii="Arial" w:hAnsi="Arial" w:cs="Arial"/>
                <w:sz w:val="22"/>
                <w:szCs w:val="22"/>
              </w:rPr>
            </w:pPr>
            <w:r w:rsidRPr="00343F01">
              <w:rPr>
                <w:rFonts w:ascii="Arial" w:hAnsi="Arial" w:cs="Arial"/>
                <w:sz w:val="22"/>
                <w:szCs w:val="22"/>
                <w:lang w:val="en-IN"/>
              </w:rPr>
              <w:t>4</w:t>
            </w:r>
          </w:p>
        </w:tc>
        <w:tc>
          <w:tcPr>
            <w:tcW w:w="5025" w:type="dxa"/>
            <w:shd w:val="clear" w:color="auto" w:fill="FFFFFF"/>
            <w:hideMark/>
          </w:tcPr>
          <w:p w:rsidR="005009C7" w:rsidRPr="00343F01" w:rsidRDefault="005009C7" w:rsidP="00AE0BAB">
            <w:pPr>
              <w:spacing w:before="120" w:after="120"/>
              <w:rPr>
                <w:rFonts w:ascii="Arial" w:hAnsi="Arial" w:cs="Arial"/>
                <w:sz w:val="22"/>
                <w:szCs w:val="22"/>
              </w:rPr>
            </w:pPr>
            <w:r w:rsidRPr="00343F01">
              <w:rPr>
                <w:rFonts w:ascii="Arial" w:hAnsi="Arial" w:cs="Arial"/>
                <w:sz w:val="22"/>
                <w:szCs w:val="22"/>
                <w:lang w:val="en-IN"/>
              </w:rPr>
              <w:t>Estimated payment during 2015-16</w:t>
            </w:r>
          </w:p>
        </w:tc>
        <w:tc>
          <w:tcPr>
            <w:tcW w:w="1905" w:type="dxa"/>
            <w:shd w:val="clear" w:color="auto" w:fill="FFFFFF"/>
            <w:noWrap/>
            <w:hideMark/>
          </w:tcPr>
          <w:p w:rsidR="005009C7" w:rsidRPr="00343F01" w:rsidRDefault="005009C7" w:rsidP="00AE0BAB">
            <w:pPr>
              <w:spacing w:before="120" w:after="120"/>
              <w:jc w:val="right"/>
              <w:rPr>
                <w:rFonts w:ascii="Arial" w:hAnsi="Arial" w:cs="Arial"/>
                <w:sz w:val="22"/>
                <w:szCs w:val="22"/>
              </w:rPr>
            </w:pPr>
            <w:r w:rsidRPr="00343F01">
              <w:rPr>
                <w:rFonts w:ascii="Arial" w:hAnsi="Arial" w:cs="Arial"/>
                <w:sz w:val="22"/>
                <w:szCs w:val="22"/>
              </w:rPr>
              <w:t>65.81</w:t>
            </w:r>
          </w:p>
        </w:tc>
      </w:tr>
      <w:tr w:rsidR="005009C7" w:rsidRPr="00343F01" w:rsidTr="00D84D4B">
        <w:trPr>
          <w:trHeight w:val="795"/>
        </w:trPr>
        <w:tc>
          <w:tcPr>
            <w:tcW w:w="1375" w:type="dxa"/>
            <w:shd w:val="clear" w:color="auto" w:fill="FFFFFF"/>
            <w:noWrap/>
            <w:hideMark/>
          </w:tcPr>
          <w:p w:rsidR="005009C7" w:rsidRPr="00343F01" w:rsidRDefault="005009C7" w:rsidP="00AE0BAB">
            <w:pPr>
              <w:spacing w:before="120" w:after="120"/>
              <w:jc w:val="right"/>
              <w:rPr>
                <w:rFonts w:ascii="Arial" w:hAnsi="Arial" w:cs="Arial"/>
                <w:sz w:val="22"/>
                <w:szCs w:val="22"/>
              </w:rPr>
            </w:pPr>
            <w:r w:rsidRPr="00343F01">
              <w:rPr>
                <w:rFonts w:ascii="Arial" w:hAnsi="Arial" w:cs="Arial"/>
                <w:sz w:val="22"/>
                <w:szCs w:val="22"/>
                <w:lang w:val="en-IN"/>
              </w:rPr>
              <w:t>5</w:t>
            </w:r>
          </w:p>
        </w:tc>
        <w:tc>
          <w:tcPr>
            <w:tcW w:w="5025" w:type="dxa"/>
            <w:shd w:val="clear" w:color="auto" w:fill="FFFFFF"/>
            <w:hideMark/>
          </w:tcPr>
          <w:p w:rsidR="005009C7" w:rsidRPr="00343F01" w:rsidRDefault="005009C7" w:rsidP="00AE0BAB">
            <w:pPr>
              <w:spacing w:before="120" w:after="120"/>
              <w:rPr>
                <w:rFonts w:ascii="Arial" w:hAnsi="Arial" w:cs="Arial"/>
                <w:sz w:val="22"/>
                <w:szCs w:val="22"/>
              </w:rPr>
            </w:pPr>
            <w:r w:rsidRPr="00343F01">
              <w:rPr>
                <w:rFonts w:ascii="Arial" w:hAnsi="Arial" w:cs="Arial"/>
                <w:sz w:val="22"/>
                <w:szCs w:val="22"/>
                <w:lang w:val="en-IN"/>
              </w:rPr>
              <w:t>Terminal benefit trust funding required for 2015-16 (1-2-3+4)</w:t>
            </w:r>
          </w:p>
        </w:tc>
        <w:tc>
          <w:tcPr>
            <w:tcW w:w="1905" w:type="dxa"/>
            <w:shd w:val="clear" w:color="auto" w:fill="FFFFFF"/>
            <w:noWrap/>
            <w:hideMark/>
          </w:tcPr>
          <w:p w:rsidR="005009C7" w:rsidRPr="00343F01" w:rsidRDefault="005009C7" w:rsidP="00AE0BAB">
            <w:pPr>
              <w:spacing w:before="120" w:after="120"/>
              <w:jc w:val="right"/>
              <w:rPr>
                <w:rFonts w:ascii="Arial" w:hAnsi="Arial" w:cs="Arial"/>
                <w:sz w:val="22"/>
                <w:szCs w:val="22"/>
              </w:rPr>
            </w:pPr>
            <w:r w:rsidRPr="00343F01">
              <w:rPr>
                <w:rFonts w:ascii="Arial" w:hAnsi="Arial" w:cs="Arial"/>
                <w:sz w:val="22"/>
                <w:szCs w:val="22"/>
              </w:rPr>
              <w:t>90.96</w:t>
            </w:r>
          </w:p>
        </w:tc>
      </w:tr>
      <w:tr w:rsidR="005009C7" w:rsidRPr="00343F01" w:rsidTr="00D84D4B">
        <w:trPr>
          <w:trHeight w:val="255"/>
        </w:trPr>
        <w:tc>
          <w:tcPr>
            <w:tcW w:w="1375" w:type="dxa"/>
            <w:shd w:val="clear" w:color="auto" w:fill="FFFFFF"/>
            <w:noWrap/>
            <w:hideMark/>
          </w:tcPr>
          <w:p w:rsidR="005009C7" w:rsidRPr="00343F01" w:rsidRDefault="005009C7" w:rsidP="00AE0BAB">
            <w:pPr>
              <w:spacing w:before="120" w:after="120"/>
              <w:rPr>
                <w:rFonts w:ascii="Arial" w:hAnsi="Arial" w:cs="Arial"/>
                <w:sz w:val="22"/>
                <w:szCs w:val="22"/>
              </w:rPr>
            </w:pPr>
            <w:r w:rsidRPr="00343F01">
              <w:rPr>
                <w:rFonts w:ascii="Arial" w:hAnsi="Arial" w:cs="Arial"/>
                <w:sz w:val="22"/>
                <w:szCs w:val="22"/>
                <w:lang w:val="en-IN"/>
              </w:rPr>
              <w:t> </w:t>
            </w:r>
          </w:p>
        </w:tc>
        <w:tc>
          <w:tcPr>
            <w:tcW w:w="5025" w:type="dxa"/>
            <w:shd w:val="clear" w:color="auto" w:fill="FFFFFF"/>
            <w:noWrap/>
            <w:hideMark/>
          </w:tcPr>
          <w:p w:rsidR="005009C7" w:rsidRPr="00343F01" w:rsidRDefault="005009C7" w:rsidP="00AE0BAB">
            <w:pPr>
              <w:spacing w:before="120" w:after="120"/>
              <w:rPr>
                <w:rFonts w:ascii="Arial" w:hAnsi="Arial" w:cs="Arial"/>
                <w:sz w:val="22"/>
                <w:szCs w:val="22"/>
              </w:rPr>
            </w:pPr>
            <w:r w:rsidRPr="00343F01">
              <w:rPr>
                <w:rFonts w:ascii="Arial" w:hAnsi="Arial" w:cs="Arial"/>
                <w:sz w:val="22"/>
                <w:szCs w:val="22"/>
                <w:lang w:val="en-IN"/>
              </w:rPr>
              <w:t> </w:t>
            </w:r>
          </w:p>
        </w:tc>
        <w:tc>
          <w:tcPr>
            <w:tcW w:w="1905" w:type="dxa"/>
            <w:shd w:val="clear" w:color="auto" w:fill="FFFFFF"/>
            <w:noWrap/>
            <w:hideMark/>
          </w:tcPr>
          <w:p w:rsidR="005009C7" w:rsidRPr="00343F01" w:rsidRDefault="005009C7" w:rsidP="00AE0BAB">
            <w:pPr>
              <w:spacing w:before="120" w:after="120"/>
              <w:rPr>
                <w:rFonts w:ascii="Arial" w:hAnsi="Arial" w:cs="Arial"/>
                <w:sz w:val="22"/>
                <w:szCs w:val="22"/>
              </w:rPr>
            </w:pPr>
            <w:r w:rsidRPr="00343F01">
              <w:rPr>
                <w:rFonts w:ascii="Arial" w:hAnsi="Arial" w:cs="Arial"/>
                <w:sz w:val="22"/>
                <w:szCs w:val="22"/>
              </w:rPr>
              <w:t> </w:t>
            </w:r>
          </w:p>
        </w:tc>
      </w:tr>
      <w:tr w:rsidR="005009C7" w:rsidRPr="00343F01" w:rsidTr="00D84D4B">
        <w:trPr>
          <w:trHeight w:val="633"/>
        </w:trPr>
        <w:tc>
          <w:tcPr>
            <w:tcW w:w="1375" w:type="dxa"/>
            <w:shd w:val="clear" w:color="auto" w:fill="FFFFFF"/>
            <w:noWrap/>
            <w:hideMark/>
          </w:tcPr>
          <w:p w:rsidR="005009C7" w:rsidRPr="00343F01" w:rsidRDefault="005009C7" w:rsidP="00AE0BAB">
            <w:pPr>
              <w:spacing w:before="120" w:after="120"/>
              <w:rPr>
                <w:rFonts w:ascii="Arial" w:hAnsi="Arial" w:cs="Arial"/>
                <w:sz w:val="22"/>
                <w:szCs w:val="22"/>
              </w:rPr>
            </w:pPr>
            <w:r w:rsidRPr="00343F01">
              <w:rPr>
                <w:rFonts w:ascii="Arial" w:hAnsi="Arial" w:cs="Arial"/>
                <w:sz w:val="22"/>
                <w:szCs w:val="22"/>
                <w:lang w:val="en-IN"/>
              </w:rPr>
              <w:t>B</w:t>
            </w:r>
          </w:p>
        </w:tc>
        <w:tc>
          <w:tcPr>
            <w:tcW w:w="5025" w:type="dxa"/>
            <w:shd w:val="clear" w:color="auto" w:fill="FFFFFF"/>
            <w:hideMark/>
          </w:tcPr>
          <w:p w:rsidR="005009C7" w:rsidRPr="00343F01" w:rsidRDefault="005009C7" w:rsidP="00AE0BAB">
            <w:pPr>
              <w:spacing w:before="120" w:after="120"/>
              <w:rPr>
                <w:rFonts w:ascii="Arial" w:hAnsi="Arial" w:cs="Arial"/>
                <w:sz w:val="22"/>
                <w:szCs w:val="22"/>
              </w:rPr>
            </w:pPr>
            <w:r w:rsidRPr="00343F01">
              <w:rPr>
                <w:rFonts w:ascii="Arial" w:hAnsi="Arial" w:cs="Arial"/>
                <w:sz w:val="22"/>
                <w:szCs w:val="22"/>
                <w:lang w:val="en-IN"/>
              </w:rPr>
              <w:t>Expected Corpus Availability FY 14-15</w:t>
            </w:r>
          </w:p>
        </w:tc>
        <w:tc>
          <w:tcPr>
            <w:tcW w:w="1905" w:type="dxa"/>
            <w:shd w:val="clear" w:color="auto" w:fill="FFFFFF"/>
            <w:noWrap/>
            <w:hideMark/>
          </w:tcPr>
          <w:p w:rsidR="005009C7" w:rsidRPr="00343F01" w:rsidRDefault="005009C7" w:rsidP="00AE0BAB">
            <w:pPr>
              <w:spacing w:before="120" w:after="120"/>
              <w:rPr>
                <w:rFonts w:ascii="Arial" w:hAnsi="Arial" w:cs="Arial"/>
                <w:sz w:val="22"/>
                <w:szCs w:val="22"/>
              </w:rPr>
            </w:pPr>
            <w:r w:rsidRPr="00343F01">
              <w:rPr>
                <w:rFonts w:ascii="Arial" w:hAnsi="Arial" w:cs="Arial"/>
                <w:sz w:val="22"/>
                <w:szCs w:val="22"/>
              </w:rPr>
              <w:t> </w:t>
            </w:r>
          </w:p>
        </w:tc>
      </w:tr>
      <w:tr w:rsidR="005009C7" w:rsidRPr="00343F01" w:rsidTr="00D84D4B">
        <w:trPr>
          <w:trHeight w:val="606"/>
        </w:trPr>
        <w:tc>
          <w:tcPr>
            <w:tcW w:w="1375" w:type="dxa"/>
            <w:shd w:val="clear" w:color="auto" w:fill="FFFFFF"/>
            <w:noWrap/>
            <w:hideMark/>
          </w:tcPr>
          <w:p w:rsidR="005009C7" w:rsidRPr="00343F01" w:rsidRDefault="005009C7" w:rsidP="00AE0BAB">
            <w:pPr>
              <w:spacing w:before="120" w:after="120"/>
              <w:jc w:val="right"/>
              <w:rPr>
                <w:rFonts w:ascii="Arial" w:hAnsi="Arial" w:cs="Arial"/>
                <w:sz w:val="22"/>
                <w:szCs w:val="22"/>
              </w:rPr>
            </w:pPr>
            <w:r w:rsidRPr="00343F01">
              <w:rPr>
                <w:rFonts w:ascii="Arial" w:hAnsi="Arial" w:cs="Arial"/>
                <w:sz w:val="22"/>
                <w:szCs w:val="22"/>
                <w:lang w:val="en-IN"/>
              </w:rPr>
              <w:t>1</w:t>
            </w:r>
          </w:p>
        </w:tc>
        <w:tc>
          <w:tcPr>
            <w:tcW w:w="5025" w:type="dxa"/>
            <w:shd w:val="clear" w:color="auto" w:fill="FFFFFF"/>
            <w:hideMark/>
          </w:tcPr>
          <w:p w:rsidR="005009C7" w:rsidRPr="00343F01" w:rsidRDefault="005009C7" w:rsidP="00AE0BAB">
            <w:pPr>
              <w:spacing w:before="120" w:after="120"/>
              <w:rPr>
                <w:rFonts w:ascii="Arial" w:hAnsi="Arial" w:cs="Arial"/>
                <w:sz w:val="22"/>
                <w:szCs w:val="22"/>
              </w:rPr>
            </w:pPr>
            <w:r w:rsidRPr="00343F01">
              <w:rPr>
                <w:rFonts w:ascii="Arial" w:hAnsi="Arial" w:cs="Arial"/>
                <w:sz w:val="22"/>
                <w:szCs w:val="22"/>
                <w:lang w:val="en-IN"/>
              </w:rPr>
              <w:t>Employee Trust Valuation as on 31.03.15</w:t>
            </w:r>
          </w:p>
        </w:tc>
        <w:tc>
          <w:tcPr>
            <w:tcW w:w="1905" w:type="dxa"/>
            <w:shd w:val="clear" w:color="auto" w:fill="FFFFFF"/>
            <w:noWrap/>
            <w:hideMark/>
          </w:tcPr>
          <w:p w:rsidR="005009C7" w:rsidRPr="00343F01" w:rsidRDefault="005009C7" w:rsidP="00AE0BAB">
            <w:pPr>
              <w:spacing w:before="120" w:after="120"/>
              <w:jc w:val="right"/>
              <w:rPr>
                <w:rFonts w:ascii="Arial" w:hAnsi="Arial" w:cs="Arial"/>
                <w:sz w:val="22"/>
                <w:szCs w:val="22"/>
              </w:rPr>
            </w:pPr>
            <w:r w:rsidRPr="00343F01">
              <w:rPr>
                <w:rFonts w:ascii="Arial" w:hAnsi="Arial" w:cs="Arial"/>
                <w:sz w:val="22"/>
                <w:szCs w:val="22"/>
              </w:rPr>
              <w:t>762.72</w:t>
            </w:r>
          </w:p>
        </w:tc>
      </w:tr>
      <w:tr w:rsidR="005009C7" w:rsidRPr="00343F01" w:rsidTr="00D84D4B">
        <w:trPr>
          <w:trHeight w:val="534"/>
        </w:trPr>
        <w:tc>
          <w:tcPr>
            <w:tcW w:w="1375" w:type="dxa"/>
            <w:shd w:val="clear" w:color="auto" w:fill="FFFFFF"/>
            <w:noWrap/>
            <w:hideMark/>
          </w:tcPr>
          <w:p w:rsidR="005009C7" w:rsidRPr="00343F01" w:rsidRDefault="005009C7" w:rsidP="00AE0BAB">
            <w:pPr>
              <w:spacing w:before="120" w:after="120"/>
              <w:jc w:val="right"/>
              <w:rPr>
                <w:rFonts w:ascii="Arial" w:hAnsi="Arial" w:cs="Arial"/>
                <w:sz w:val="22"/>
                <w:szCs w:val="22"/>
              </w:rPr>
            </w:pPr>
            <w:r w:rsidRPr="00343F01">
              <w:rPr>
                <w:rFonts w:ascii="Arial" w:hAnsi="Arial" w:cs="Arial"/>
                <w:sz w:val="22"/>
                <w:szCs w:val="22"/>
                <w:lang w:val="en-IN"/>
              </w:rPr>
              <w:t>2</w:t>
            </w:r>
          </w:p>
        </w:tc>
        <w:tc>
          <w:tcPr>
            <w:tcW w:w="5025" w:type="dxa"/>
            <w:shd w:val="clear" w:color="auto" w:fill="FFFFFF"/>
            <w:hideMark/>
          </w:tcPr>
          <w:p w:rsidR="005009C7" w:rsidRPr="00343F01" w:rsidRDefault="005009C7" w:rsidP="00AE0BAB">
            <w:pPr>
              <w:spacing w:before="120" w:after="120"/>
              <w:rPr>
                <w:rFonts w:ascii="Arial" w:hAnsi="Arial" w:cs="Arial"/>
                <w:sz w:val="22"/>
                <w:szCs w:val="22"/>
              </w:rPr>
            </w:pPr>
            <w:r w:rsidRPr="00343F01">
              <w:rPr>
                <w:rFonts w:ascii="Arial" w:hAnsi="Arial" w:cs="Arial"/>
                <w:sz w:val="22"/>
                <w:szCs w:val="22"/>
                <w:lang w:val="en-IN"/>
              </w:rPr>
              <w:t>Employee Trust Valuation as on 31.03.14</w:t>
            </w:r>
          </w:p>
        </w:tc>
        <w:tc>
          <w:tcPr>
            <w:tcW w:w="1905" w:type="dxa"/>
            <w:shd w:val="clear" w:color="auto" w:fill="FFFFFF"/>
            <w:noWrap/>
            <w:hideMark/>
          </w:tcPr>
          <w:p w:rsidR="005009C7" w:rsidRPr="00343F01" w:rsidRDefault="005009C7" w:rsidP="00AE0BAB">
            <w:pPr>
              <w:spacing w:before="120" w:after="120"/>
              <w:jc w:val="right"/>
              <w:rPr>
                <w:rFonts w:ascii="Arial" w:hAnsi="Arial" w:cs="Arial"/>
                <w:sz w:val="22"/>
                <w:szCs w:val="22"/>
              </w:rPr>
            </w:pPr>
            <w:r w:rsidRPr="00343F01">
              <w:rPr>
                <w:rFonts w:ascii="Arial" w:hAnsi="Arial" w:cs="Arial"/>
                <w:sz w:val="22"/>
                <w:szCs w:val="22"/>
              </w:rPr>
              <w:t>721.85</w:t>
            </w:r>
          </w:p>
        </w:tc>
      </w:tr>
      <w:tr w:rsidR="005009C7" w:rsidRPr="00343F01" w:rsidTr="00D84D4B">
        <w:trPr>
          <w:trHeight w:val="435"/>
        </w:trPr>
        <w:tc>
          <w:tcPr>
            <w:tcW w:w="1375" w:type="dxa"/>
            <w:shd w:val="clear" w:color="auto" w:fill="FFFFFF"/>
            <w:noWrap/>
            <w:hideMark/>
          </w:tcPr>
          <w:p w:rsidR="005009C7" w:rsidRPr="00343F01" w:rsidRDefault="005009C7" w:rsidP="00AE0BAB">
            <w:pPr>
              <w:spacing w:before="120" w:after="120"/>
              <w:jc w:val="right"/>
              <w:rPr>
                <w:rFonts w:ascii="Arial" w:hAnsi="Arial" w:cs="Arial"/>
                <w:sz w:val="22"/>
                <w:szCs w:val="22"/>
              </w:rPr>
            </w:pPr>
            <w:r w:rsidRPr="00343F01">
              <w:rPr>
                <w:rFonts w:ascii="Arial" w:hAnsi="Arial" w:cs="Arial"/>
                <w:sz w:val="22"/>
                <w:szCs w:val="22"/>
                <w:lang w:val="en-IN"/>
              </w:rPr>
              <w:t>3</w:t>
            </w:r>
          </w:p>
        </w:tc>
        <w:tc>
          <w:tcPr>
            <w:tcW w:w="5025" w:type="dxa"/>
            <w:shd w:val="clear" w:color="auto" w:fill="FFFFFF"/>
            <w:hideMark/>
          </w:tcPr>
          <w:p w:rsidR="005009C7" w:rsidRPr="00343F01" w:rsidRDefault="005009C7" w:rsidP="00AE0BAB">
            <w:pPr>
              <w:spacing w:before="120" w:after="120"/>
              <w:rPr>
                <w:rFonts w:ascii="Arial" w:hAnsi="Arial" w:cs="Arial"/>
                <w:sz w:val="22"/>
                <w:szCs w:val="22"/>
              </w:rPr>
            </w:pPr>
            <w:r w:rsidRPr="00343F01">
              <w:rPr>
                <w:rFonts w:ascii="Arial" w:hAnsi="Arial" w:cs="Arial"/>
                <w:sz w:val="22"/>
                <w:szCs w:val="22"/>
                <w:lang w:val="en-IN"/>
              </w:rPr>
              <w:t>Interest on invstmnt during 2014-15 @ 8.5 %</w:t>
            </w:r>
          </w:p>
        </w:tc>
        <w:tc>
          <w:tcPr>
            <w:tcW w:w="1905" w:type="dxa"/>
            <w:shd w:val="clear" w:color="auto" w:fill="FFFFFF"/>
            <w:noWrap/>
            <w:hideMark/>
          </w:tcPr>
          <w:p w:rsidR="005009C7" w:rsidRPr="00343F01" w:rsidRDefault="005009C7" w:rsidP="00AE0BAB">
            <w:pPr>
              <w:spacing w:before="120" w:after="120"/>
              <w:jc w:val="right"/>
              <w:rPr>
                <w:rFonts w:ascii="Arial" w:hAnsi="Arial" w:cs="Arial"/>
                <w:sz w:val="22"/>
                <w:szCs w:val="22"/>
              </w:rPr>
            </w:pPr>
            <w:r w:rsidRPr="00343F01">
              <w:rPr>
                <w:rFonts w:ascii="Arial" w:hAnsi="Arial" w:cs="Arial"/>
                <w:sz w:val="22"/>
                <w:szCs w:val="22"/>
              </w:rPr>
              <w:t>8.68</w:t>
            </w:r>
          </w:p>
        </w:tc>
      </w:tr>
      <w:tr w:rsidR="005009C7" w:rsidRPr="00343F01" w:rsidTr="00D84D4B">
        <w:trPr>
          <w:trHeight w:val="444"/>
        </w:trPr>
        <w:tc>
          <w:tcPr>
            <w:tcW w:w="1375" w:type="dxa"/>
            <w:shd w:val="clear" w:color="auto" w:fill="FFFFFF"/>
            <w:noWrap/>
            <w:hideMark/>
          </w:tcPr>
          <w:p w:rsidR="005009C7" w:rsidRPr="00343F01" w:rsidRDefault="005009C7" w:rsidP="00AE0BAB">
            <w:pPr>
              <w:spacing w:before="120" w:after="120"/>
              <w:jc w:val="right"/>
              <w:rPr>
                <w:rFonts w:ascii="Arial" w:hAnsi="Arial" w:cs="Arial"/>
                <w:sz w:val="22"/>
                <w:szCs w:val="22"/>
              </w:rPr>
            </w:pPr>
            <w:r w:rsidRPr="00343F01">
              <w:rPr>
                <w:rFonts w:ascii="Arial" w:hAnsi="Arial" w:cs="Arial"/>
                <w:sz w:val="22"/>
                <w:szCs w:val="22"/>
                <w:lang w:val="en-IN"/>
              </w:rPr>
              <w:t>4</w:t>
            </w:r>
          </w:p>
        </w:tc>
        <w:tc>
          <w:tcPr>
            <w:tcW w:w="5025" w:type="dxa"/>
            <w:shd w:val="clear" w:color="auto" w:fill="FFFFFF"/>
            <w:hideMark/>
          </w:tcPr>
          <w:p w:rsidR="005009C7" w:rsidRPr="00343F01" w:rsidRDefault="005009C7" w:rsidP="00AE0BAB">
            <w:pPr>
              <w:spacing w:before="120" w:after="120"/>
              <w:rPr>
                <w:rFonts w:ascii="Arial" w:hAnsi="Arial" w:cs="Arial"/>
                <w:sz w:val="22"/>
                <w:szCs w:val="22"/>
              </w:rPr>
            </w:pPr>
            <w:r w:rsidRPr="00343F01">
              <w:rPr>
                <w:rFonts w:ascii="Arial" w:hAnsi="Arial" w:cs="Arial"/>
                <w:sz w:val="22"/>
                <w:szCs w:val="22"/>
                <w:lang w:val="en-IN"/>
              </w:rPr>
              <w:t>Estimated payment during 2014-15</w:t>
            </w:r>
          </w:p>
        </w:tc>
        <w:tc>
          <w:tcPr>
            <w:tcW w:w="1905" w:type="dxa"/>
            <w:shd w:val="clear" w:color="auto" w:fill="FFFFFF"/>
            <w:noWrap/>
            <w:hideMark/>
          </w:tcPr>
          <w:p w:rsidR="005009C7" w:rsidRPr="00343F01" w:rsidRDefault="005009C7" w:rsidP="00AE0BAB">
            <w:pPr>
              <w:spacing w:before="120" w:after="120"/>
              <w:jc w:val="right"/>
              <w:rPr>
                <w:rFonts w:ascii="Arial" w:hAnsi="Arial" w:cs="Arial"/>
                <w:sz w:val="22"/>
                <w:szCs w:val="22"/>
              </w:rPr>
            </w:pPr>
            <w:r w:rsidRPr="00343F01">
              <w:rPr>
                <w:rFonts w:ascii="Arial" w:hAnsi="Arial" w:cs="Arial"/>
                <w:sz w:val="22"/>
                <w:szCs w:val="22"/>
              </w:rPr>
              <w:t>61.66</w:t>
            </w:r>
          </w:p>
        </w:tc>
      </w:tr>
      <w:tr w:rsidR="005009C7" w:rsidRPr="00343F01" w:rsidTr="00D84D4B">
        <w:trPr>
          <w:trHeight w:val="651"/>
        </w:trPr>
        <w:tc>
          <w:tcPr>
            <w:tcW w:w="1375" w:type="dxa"/>
            <w:shd w:val="clear" w:color="auto" w:fill="FFFFFF"/>
            <w:noWrap/>
            <w:hideMark/>
          </w:tcPr>
          <w:p w:rsidR="005009C7" w:rsidRPr="00343F01" w:rsidRDefault="005009C7" w:rsidP="00AE0BAB">
            <w:pPr>
              <w:spacing w:before="120" w:after="120"/>
              <w:jc w:val="right"/>
              <w:rPr>
                <w:rFonts w:ascii="Arial" w:hAnsi="Arial" w:cs="Arial"/>
                <w:sz w:val="22"/>
                <w:szCs w:val="22"/>
              </w:rPr>
            </w:pPr>
            <w:r w:rsidRPr="00343F01">
              <w:rPr>
                <w:rFonts w:ascii="Arial" w:hAnsi="Arial" w:cs="Arial"/>
                <w:sz w:val="22"/>
                <w:szCs w:val="22"/>
                <w:lang w:val="en-IN"/>
              </w:rPr>
              <w:t>5</w:t>
            </w:r>
          </w:p>
        </w:tc>
        <w:tc>
          <w:tcPr>
            <w:tcW w:w="5025" w:type="dxa"/>
            <w:shd w:val="clear" w:color="auto" w:fill="FFFFFF"/>
            <w:hideMark/>
          </w:tcPr>
          <w:p w:rsidR="005009C7" w:rsidRPr="00343F01" w:rsidRDefault="005009C7" w:rsidP="00AE0BAB">
            <w:pPr>
              <w:spacing w:before="120" w:after="120"/>
              <w:rPr>
                <w:rFonts w:ascii="Arial" w:hAnsi="Arial" w:cs="Arial"/>
                <w:sz w:val="22"/>
                <w:szCs w:val="22"/>
              </w:rPr>
            </w:pPr>
            <w:r w:rsidRPr="00343F01">
              <w:rPr>
                <w:rFonts w:ascii="Arial" w:hAnsi="Arial" w:cs="Arial"/>
                <w:sz w:val="22"/>
                <w:szCs w:val="22"/>
                <w:lang w:val="en-IN"/>
              </w:rPr>
              <w:t>Terminal benefit trust funding required for 2014-15 (1-2-3+4)</w:t>
            </w:r>
          </w:p>
        </w:tc>
        <w:tc>
          <w:tcPr>
            <w:tcW w:w="1905" w:type="dxa"/>
            <w:shd w:val="clear" w:color="auto" w:fill="FFFFFF"/>
            <w:noWrap/>
            <w:hideMark/>
          </w:tcPr>
          <w:p w:rsidR="005009C7" w:rsidRPr="00343F01" w:rsidRDefault="005009C7" w:rsidP="00AE0BAB">
            <w:pPr>
              <w:spacing w:before="120" w:after="120"/>
              <w:jc w:val="right"/>
              <w:rPr>
                <w:rFonts w:ascii="Arial" w:hAnsi="Arial" w:cs="Arial"/>
                <w:sz w:val="22"/>
                <w:szCs w:val="22"/>
              </w:rPr>
            </w:pPr>
            <w:r w:rsidRPr="00343F01">
              <w:rPr>
                <w:rFonts w:ascii="Arial" w:hAnsi="Arial" w:cs="Arial"/>
                <w:sz w:val="22"/>
                <w:szCs w:val="22"/>
              </w:rPr>
              <w:t>93.86</w:t>
            </w:r>
          </w:p>
        </w:tc>
      </w:tr>
    </w:tbl>
    <w:p w:rsidR="005009C7" w:rsidRPr="00343F01" w:rsidRDefault="005009C7" w:rsidP="005009C7">
      <w:pPr>
        <w:pStyle w:val="BodyText2"/>
        <w:spacing w:line="360" w:lineRule="auto"/>
        <w:jc w:val="both"/>
        <w:rPr>
          <w:rFonts w:cs="Arial"/>
          <w:sz w:val="22"/>
          <w:szCs w:val="22"/>
          <w:lang w:val="en-GB"/>
        </w:rPr>
      </w:pPr>
    </w:p>
    <w:p w:rsidR="004276A0" w:rsidRPr="00343F01" w:rsidRDefault="004276A0" w:rsidP="004276A0">
      <w:pPr>
        <w:spacing w:line="360" w:lineRule="auto"/>
        <w:ind w:left="360"/>
        <w:jc w:val="both"/>
        <w:rPr>
          <w:rFonts w:ascii="Arial" w:hAnsi="Arial" w:cs="Arial"/>
          <w:sz w:val="22"/>
          <w:szCs w:val="22"/>
        </w:rPr>
      </w:pPr>
      <w:r w:rsidRPr="00343F01">
        <w:rPr>
          <w:rFonts w:ascii="Arial" w:hAnsi="Arial" w:cs="Arial"/>
          <w:sz w:val="22"/>
          <w:szCs w:val="22"/>
        </w:rPr>
        <w:t xml:space="preserve">The Licensee </w:t>
      </w:r>
      <w:r w:rsidR="00B84854" w:rsidRPr="00343F01">
        <w:rPr>
          <w:rFonts w:ascii="Arial" w:hAnsi="Arial" w:cs="Arial"/>
          <w:sz w:val="22"/>
          <w:szCs w:val="22"/>
        </w:rPr>
        <w:t xml:space="preserve">seeks reference to the </w:t>
      </w:r>
      <w:r w:rsidRPr="00343F01">
        <w:rPr>
          <w:rFonts w:ascii="Arial" w:hAnsi="Arial" w:cs="Arial"/>
          <w:sz w:val="22"/>
          <w:szCs w:val="22"/>
        </w:rPr>
        <w:t xml:space="preserve"> Hon’ble ATE in their Order dated 3</w:t>
      </w:r>
      <w:r w:rsidRPr="00343F01">
        <w:rPr>
          <w:rFonts w:ascii="Arial" w:hAnsi="Arial" w:cs="Arial"/>
          <w:sz w:val="22"/>
          <w:szCs w:val="22"/>
          <w:vertAlign w:val="superscript"/>
        </w:rPr>
        <w:t>rd</w:t>
      </w:r>
      <w:r w:rsidRPr="00343F01">
        <w:rPr>
          <w:rFonts w:ascii="Arial" w:hAnsi="Arial" w:cs="Arial"/>
          <w:sz w:val="22"/>
          <w:szCs w:val="22"/>
        </w:rPr>
        <w:t xml:space="preserve"> July 2013</w:t>
      </w:r>
      <w:r w:rsidR="00083499" w:rsidRPr="00343F01">
        <w:rPr>
          <w:rFonts w:ascii="Arial" w:hAnsi="Arial" w:cs="Arial"/>
          <w:sz w:val="22"/>
          <w:szCs w:val="22"/>
        </w:rPr>
        <w:t xml:space="preserve">, regarding terminal </w:t>
      </w:r>
      <w:r w:rsidR="00F827A5" w:rsidRPr="00343F01">
        <w:rPr>
          <w:rFonts w:ascii="Arial" w:hAnsi="Arial" w:cs="Arial"/>
          <w:sz w:val="22"/>
          <w:szCs w:val="22"/>
        </w:rPr>
        <w:t>bene</w:t>
      </w:r>
      <w:r w:rsidR="00DD55FC" w:rsidRPr="00343F01">
        <w:rPr>
          <w:rFonts w:ascii="Arial" w:hAnsi="Arial" w:cs="Arial"/>
          <w:sz w:val="22"/>
          <w:szCs w:val="22"/>
        </w:rPr>
        <w:t>fits</w:t>
      </w:r>
      <w:r w:rsidR="00B84854" w:rsidRPr="00343F01">
        <w:rPr>
          <w:rFonts w:ascii="Arial" w:hAnsi="Arial" w:cs="Arial"/>
          <w:sz w:val="22"/>
          <w:szCs w:val="22"/>
        </w:rPr>
        <w:t>,</w:t>
      </w:r>
      <w:r w:rsidRPr="00343F01">
        <w:rPr>
          <w:rFonts w:ascii="Arial" w:hAnsi="Arial" w:cs="Arial"/>
          <w:sz w:val="22"/>
          <w:szCs w:val="22"/>
        </w:rPr>
        <w:t>had stated as under</w:t>
      </w:r>
    </w:p>
    <w:p w:rsidR="004276A0" w:rsidRPr="00343F01" w:rsidRDefault="004276A0" w:rsidP="004276A0">
      <w:pPr>
        <w:spacing w:line="360" w:lineRule="auto"/>
        <w:ind w:left="720"/>
        <w:jc w:val="both"/>
        <w:rPr>
          <w:rFonts w:ascii="Arial" w:hAnsi="Arial" w:cs="Arial"/>
          <w:i/>
          <w:sz w:val="22"/>
          <w:szCs w:val="22"/>
        </w:rPr>
      </w:pPr>
      <w:r w:rsidRPr="00343F01">
        <w:rPr>
          <w:rFonts w:ascii="Arial" w:hAnsi="Arial" w:cs="Arial"/>
          <w:i/>
          <w:sz w:val="22"/>
          <w:szCs w:val="22"/>
        </w:rPr>
        <w:t xml:space="preserve">“ Clause 31(iv) In computing the terminal benefits of the employees, the State Commission should have taken into account the payouts from the fund to the employees as also the interest earned on the fund invested in securities and fixed deposits. The State Commission has since trued up the accounts till 2010-11 on the basis of audited accounts and therefore the issue does not survive. </w:t>
      </w:r>
      <w:r w:rsidRPr="00343F01">
        <w:rPr>
          <w:rFonts w:ascii="Arial" w:hAnsi="Arial" w:cs="Arial"/>
          <w:b/>
          <w:i/>
          <w:sz w:val="22"/>
          <w:szCs w:val="22"/>
        </w:rPr>
        <w:t>However, as a matter of principle, the accretion to the fund as also the payments from the fund has to be considered to arrive at actual availability of the fund in the ensuing year</w:t>
      </w:r>
      <w:r w:rsidRPr="00343F01">
        <w:rPr>
          <w:rFonts w:ascii="Arial" w:hAnsi="Arial" w:cs="Arial"/>
          <w:i/>
          <w:sz w:val="22"/>
          <w:szCs w:val="22"/>
        </w:rPr>
        <w:t>.”</w:t>
      </w:r>
    </w:p>
    <w:p w:rsidR="004276A0" w:rsidRPr="00343F01" w:rsidRDefault="004276A0" w:rsidP="004276A0">
      <w:pPr>
        <w:spacing w:line="360" w:lineRule="auto"/>
        <w:ind w:left="360"/>
        <w:jc w:val="both"/>
        <w:rPr>
          <w:rFonts w:ascii="Arial" w:hAnsi="Arial" w:cs="Arial"/>
          <w:sz w:val="22"/>
          <w:szCs w:val="22"/>
        </w:rPr>
      </w:pPr>
      <w:r w:rsidRPr="00343F01">
        <w:rPr>
          <w:rFonts w:ascii="Arial" w:hAnsi="Arial" w:cs="Arial"/>
          <w:sz w:val="22"/>
          <w:szCs w:val="22"/>
        </w:rPr>
        <w:t>Inferring above, the funds flow ought to be taken into account while determining the actual availability of fund.</w:t>
      </w:r>
    </w:p>
    <w:p w:rsidR="005009C7" w:rsidRPr="00343F01" w:rsidRDefault="005009C7" w:rsidP="005009C7">
      <w:pPr>
        <w:spacing w:line="360" w:lineRule="auto"/>
        <w:ind w:left="360"/>
        <w:jc w:val="both"/>
        <w:rPr>
          <w:rFonts w:ascii="Arial" w:hAnsi="Arial" w:cs="Arial"/>
          <w:sz w:val="22"/>
          <w:szCs w:val="22"/>
        </w:rPr>
      </w:pPr>
    </w:p>
    <w:p w:rsidR="005009C7" w:rsidRPr="00D84D4B" w:rsidRDefault="005009C7" w:rsidP="005009C7">
      <w:pPr>
        <w:spacing w:line="360" w:lineRule="auto"/>
        <w:ind w:left="360"/>
        <w:jc w:val="both"/>
        <w:rPr>
          <w:rFonts w:ascii="Arial" w:hAnsi="Arial" w:cs="Arial"/>
          <w:b/>
          <w:sz w:val="22"/>
          <w:szCs w:val="22"/>
        </w:rPr>
      </w:pPr>
      <w:r w:rsidRPr="00343F01">
        <w:rPr>
          <w:rFonts w:ascii="Arial" w:hAnsi="Arial" w:cs="Arial"/>
          <w:sz w:val="22"/>
          <w:szCs w:val="22"/>
        </w:rPr>
        <w:t xml:space="preserve">The audited employee cost for FY 2013-14 is Rs 210.41 Crs and estimates for FY 2014-15 are Rs 240.72 Crs as approved. </w:t>
      </w:r>
      <w:r w:rsidRPr="00D84D4B">
        <w:rPr>
          <w:rFonts w:ascii="Arial" w:hAnsi="Arial" w:cs="Arial"/>
          <w:b/>
          <w:sz w:val="22"/>
          <w:szCs w:val="22"/>
        </w:rPr>
        <w:t xml:space="preserve">The Licensee proposed the Employee cost aggregating to Rs 254.57 Crs for the FY 2015-16. </w:t>
      </w:r>
    </w:p>
    <w:p w:rsidR="004276A0" w:rsidRPr="00D84D4B" w:rsidRDefault="004276A0" w:rsidP="000334F1">
      <w:pPr>
        <w:pStyle w:val="Heading1"/>
        <w:numPr>
          <w:ilvl w:val="1"/>
          <w:numId w:val="1"/>
        </w:numPr>
        <w:spacing w:line="360" w:lineRule="auto"/>
        <w:jc w:val="both"/>
        <w:rPr>
          <w:sz w:val="22"/>
          <w:szCs w:val="22"/>
        </w:rPr>
      </w:pPr>
      <w:bookmarkStart w:id="10" w:name="_Toc404940137"/>
      <w:r w:rsidRPr="00D84D4B">
        <w:rPr>
          <w:sz w:val="22"/>
          <w:szCs w:val="22"/>
        </w:rPr>
        <w:lastRenderedPageBreak/>
        <w:t>Administrative and General Expenses</w:t>
      </w:r>
      <w:bookmarkEnd w:id="10"/>
    </w:p>
    <w:p w:rsidR="00807F10" w:rsidRPr="00D84D4B" w:rsidRDefault="00807F10" w:rsidP="00D84D4B">
      <w:pPr>
        <w:pStyle w:val="Footer"/>
        <w:tabs>
          <w:tab w:val="clear" w:pos="4320"/>
          <w:tab w:val="clear" w:pos="8640"/>
        </w:tabs>
        <w:spacing w:line="360" w:lineRule="auto"/>
        <w:ind w:left="360"/>
        <w:jc w:val="both"/>
        <w:rPr>
          <w:rFonts w:ascii="Arial" w:hAnsi="Arial" w:cs="Arial"/>
          <w:sz w:val="22"/>
          <w:szCs w:val="22"/>
        </w:rPr>
      </w:pPr>
      <w:r w:rsidRPr="00D84D4B">
        <w:rPr>
          <w:rFonts w:ascii="Arial" w:hAnsi="Arial" w:cs="Arial"/>
          <w:sz w:val="22"/>
          <w:szCs w:val="22"/>
        </w:rPr>
        <w:t xml:space="preserve">The A&amp;G expenses for FY 2015-16 is estimated at Rs. </w:t>
      </w:r>
      <w:r w:rsidR="00AD0FEA" w:rsidRPr="00D84D4B">
        <w:rPr>
          <w:rFonts w:ascii="Arial" w:hAnsi="Arial" w:cs="Arial"/>
          <w:sz w:val="22"/>
          <w:szCs w:val="22"/>
        </w:rPr>
        <w:t>55.18</w:t>
      </w:r>
      <w:r w:rsidRPr="00D84D4B">
        <w:rPr>
          <w:rFonts w:ascii="Arial" w:hAnsi="Arial" w:cs="Arial"/>
          <w:sz w:val="22"/>
          <w:szCs w:val="22"/>
        </w:rPr>
        <w:t xml:space="preserve"> Crore based on actual expenses till September 2014 as against the approved A&amp;G expenses of Rs 20.68 Crore including spe</w:t>
      </w:r>
      <w:r w:rsidR="007B655E">
        <w:rPr>
          <w:rFonts w:ascii="Arial" w:hAnsi="Arial" w:cs="Arial"/>
          <w:sz w:val="22"/>
          <w:szCs w:val="22"/>
        </w:rPr>
        <w:t>cial additional expenditure of Rs.</w:t>
      </w:r>
      <w:r w:rsidRPr="00D84D4B">
        <w:rPr>
          <w:rFonts w:ascii="Arial" w:hAnsi="Arial" w:cs="Arial"/>
          <w:sz w:val="22"/>
          <w:szCs w:val="22"/>
        </w:rPr>
        <w:t>1.50 crs towards Customer Care, IT Automation, inspection fees towards SI work and compensation towards electrical accidents for FY 2014-15.</w:t>
      </w:r>
    </w:p>
    <w:p w:rsidR="00807F10" w:rsidRPr="00D84D4B" w:rsidRDefault="00807F10" w:rsidP="00D84D4B">
      <w:pPr>
        <w:pStyle w:val="Footer"/>
        <w:tabs>
          <w:tab w:val="clear" w:pos="4320"/>
          <w:tab w:val="clear" w:pos="8640"/>
        </w:tabs>
        <w:spacing w:line="360" w:lineRule="auto"/>
        <w:ind w:left="360"/>
        <w:jc w:val="both"/>
        <w:rPr>
          <w:rFonts w:ascii="Arial" w:hAnsi="Arial" w:cs="Arial"/>
          <w:sz w:val="22"/>
          <w:szCs w:val="22"/>
        </w:rPr>
      </w:pPr>
      <w:r w:rsidRPr="00D84D4B">
        <w:rPr>
          <w:rFonts w:ascii="Arial" w:hAnsi="Arial" w:cs="Arial"/>
          <w:sz w:val="22"/>
          <w:szCs w:val="22"/>
        </w:rPr>
        <w:t>In addition to normal A&amp;G expenses, following additional expenses for aforesaid initiatives has been considered while projecting the total A&amp;G expenses for FY 2015-16. The collection of arrears and current bills is assumed to be used to meet cash deficits during the year 2014-15, to the extent of collected amounts. The Licensee proposes to recover the operational expenses as stated below in the following heads in the ARR for the FY 2015-16 and the CAPEX to be made initially shall be capitali</w:t>
      </w:r>
      <w:r w:rsidR="007B655E">
        <w:rPr>
          <w:rFonts w:ascii="Arial" w:hAnsi="Arial" w:cs="Arial"/>
          <w:sz w:val="22"/>
          <w:szCs w:val="22"/>
        </w:rPr>
        <w:t>z</w:t>
      </w:r>
      <w:r w:rsidRPr="00D84D4B">
        <w:rPr>
          <w:rFonts w:ascii="Arial" w:hAnsi="Arial" w:cs="Arial"/>
          <w:sz w:val="22"/>
          <w:szCs w:val="22"/>
        </w:rPr>
        <w:t>ed.</w:t>
      </w:r>
    </w:p>
    <w:p w:rsidR="00807F10" w:rsidRPr="00D84D4B" w:rsidRDefault="00807F10" w:rsidP="00D84D4B">
      <w:pPr>
        <w:pStyle w:val="Footer"/>
        <w:tabs>
          <w:tab w:val="clear" w:pos="4320"/>
          <w:tab w:val="clear" w:pos="8640"/>
        </w:tabs>
        <w:spacing w:line="360" w:lineRule="auto"/>
        <w:ind w:left="360"/>
        <w:jc w:val="both"/>
        <w:rPr>
          <w:rFonts w:ascii="Arial" w:hAnsi="Arial" w:cs="Arial"/>
          <w:sz w:val="22"/>
          <w:szCs w:val="22"/>
        </w:rPr>
      </w:pPr>
      <w:r w:rsidRPr="00D84D4B">
        <w:rPr>
          <w:rFonts w:ascii="Arial" w:hAnsi="Arial" w:cs="Arial"/>
          <w:sz w:val="22"/>
          <w:szCs w:val="22"/>
        </w:rPr>
        <w:t xml:space="preserve">The Administration and General expenses for the ensuing year have been forecasted based on estimated expenses during FY 2014-15 in line with the </w:t>
      </w:r>
      <w:r w:rsidR="007B655E">
        <w:rPr>
          <w:rFonts w:ascii="Arial" w:hAnsi="Arial" w:cs="Arial"/>
          <w:sz w:val="22"/>
          <w:szCs w:val="22"/>
        </w:rPr>
        <w:t xml:space="preserve">Hon’ble </w:t>
      </w:r>
      <w:r w:rsidRPr="00D84D4B">
        <w:rPr>
          <w:rFonts w:ascii="Arial" w:hAnsi="Arial" w:cs="Arial"/>
          <w:sz w:val="22"/>
          <w:szCs w:val="22"/>
        </w:rPr>
        <w:t xml:space="preserve">Commission’s earlier Orders, the increase in A&amp;G expenses for the ensuing year has been projected by considering 7% increase over the approved A&amp;G expenses for FY 2014-15 along with additional expenses Rs. </w:t>
      </w:r>
      <w:r w:rsidR="00AD0FEA" w:rsidRPr="00D84D4B">
        <w:rPr>
          <w:rFonts w:ascii="Arial" w:hAnsi="Arial" w:cs="Arial"/>
          <w:sz w:val="22"/>
          <w:szCs w:val="22"/>
        </w:rPr>
        <w:t>55.18</w:t>
      </w:r>
      <w:r w:rsidRPr="00D84D4B">
        <w:rPr>
          <w:rFonts w:ascii="Arial" w:hAnsi="Arial" w:cs="Arial"/>
          <w:sz w:val="22"/>
          <w:szCs w:val="22"/>
        </w:rPr>
        <w:t xml:space="preserve"> cr as detailed in the following paras.  The 7% increase is taken on account of inflation on the normal A&amp;G expenses. </w:t>
      </w:r>
    </w:p>
    <w:p w:rsidR="00807F10" w:rsidRPr="00D84D4B" w:rsidRDefault="00807F10" w:rsidP="00807F10">
      <w:pPr>
        <w:spacing w:line="360" w:lineRule="auto"/>
        <w:ind w:left="360"/>
        <w:jc w:val="both"/>
        <w:rPr>
          <w:rFonts w:ascii="Arial" w:hAnsi="Arial" w:cs="Arial"/>
          <w:b/>
          <w:bCs/>
          <w:sz w:val="22"/>
          <w:szCs w:val="22"/>
        </w:rPr>
      </w:pPr>
      <w:r w:rsidRPr="00D84D4B">
        <w:rPr>
          <w:rFonts w:ascii="Arial" w:hAnsi="Arial" w:cs="Arial"/>
          <w:b/>
          <w:bCs/>
          <w:sz w:val="22"/>
          <w:szCs w:val="22"/>
        </w:rPr>
        <w:t xml:space="preserve">The A&amp;G expenses for FY 2015-16 is projected at Rs </w:t>
      </w:r>
      <w:r w:rsidR="00AD0FEA" w:rsidRPr="00D84D4B">
        <w:rPr>
          <w:rFonts w:ascii="Arial" w:hAnsi="Arial" w:cs="Arial"/>
          <w:b/>
          <w:bCs/>
          <w:sz w:val="22"/>
          <w:szCs w:val="22"/>
        </w:rPr>
        <w:t>55.18</w:t>
      </w:r>
      <w:r w:rsidRPr="00D84D4B">
        <w:rPr>
          <w:rFonts w:ascii="Arial" w:hAnsi="Arial" w:cs="Arial"/>
          <w:b/>
          <w:bCs/>
          <w:sz w:val="22"/>
          <w:szCs w:val="22"/>
        </w:rPr>
        <w:t xml:space="preserve"> Crore.</w:t>
      </w:r>
    </w:p>
    <w:p w:rsidR="004276A0" w:rsidRPr="000334F1" w:rsidRDefault="004276A0" w:rsidP="000334F1">
      <w:pPr>
        <w:pStyle w:val="Heading1"/>
        <w:numPr>
          <w:ilvl w:val="2"/>
          <w:numId w:val="1"/>
        </w:numPr>
        <w:spacing w:line="360" w:lineRule="auto"/>
        <w:jc w:val="both"/>
        <w:rPr>
          <w:rFonts w:ascii="Cambria" w:hAnsi="Cambria"/>
          <w:sz w:val="24"/>
          <w:szCs w:val="24"/>
        </w:rPr>
      </w:pPr>
      <w:bookmarkStart w:id="11" w:name="_Toc404940138"/>
      <w:r w:rsidRPr="00BF0E9D">
        <w:rPr>
          <w:rFonts w:ascii="Cambria" w:hAnsi="Cambria"/>
          <w:sz w:val="24"/>
          <w:szCs w:val="24"/>
        </w:rPr>
        <w:t>Annual Inspection Fees of Lines and Substations:</w:t>
      </w:r>
      <w:bookmarkEnd w:id="11"/>
    </w:p>
    <w:p w:rsidR="004276A0" w:rsidRPr="00D84D4B" w:rsidRDefault="004276A0" w:rsidP="004276A0">
      <w:pPr>
        <w:spacing w:line="360" w:lineRule="auto"/>
        <w:jc w:val="both"/>
        <w:rPr>
          <w:rFonts w:ascii="Arial" w:hAnsi="Arial" w:cs="Arial"/>
          <w:sz w:val="22"/>
          <w:szCs w:val="22"/>
        </w:rPr>
      </w:pPr>
      <w:r w:rsidRPr="00D84D4B">
        <w:rPr>
          <w:rFonts w:ascii="Arial" w:hAnsi="Arial" w:cs="Arial"/>
          <w:sz w:val="22"/>
          <w:szCs w:val="22"/>
        </w:rPr>
        <w:t>The licensee submit</w:t>
      </w:r>
      <w:r w:rsidR="00ED3D21">
        <w:rPr>
          <w:rFonts w:ascii="Arial" w:hAnsi="Arial" w:cs="Arial"/>
          <w:sz w:val="22"/>
          <w:szCs w:val="22"/>
        </w:rPr>
        <w:t>s</w:t>
      </w:r>
      <w:r w:rsidRPr="00D84D4B">
        <w:rPr>
          <w:rFonts w:ascii="Arial" w:hAnsi="Arial" w:cs="Arial"/>
          <w:sz w:val="22"/>
          <w:szCs w:val="22"/>
        </w:rPr>
        <w:t xml:space="preserve"> that</w:t>
      </w:r>
      <w:r w:rsidR="00ED3D21">
        <w:rPr>
          <w:rFonts w:ascii="Arial" w:hAnsi="Arial" w:cs="Arial"/>
          <w:sz w:val="22"/>
          <w:szCs w:val="22"/>
        </w:rPr>
        <w:t>,</w:t>
      </w:r>
      <w:r w:rsidRPr="00D84D4B">
        <w:rPr>
          <w:rFonts w:ascii="Arial" w:hAnsi="Arial" w:cs="Arial"/>
          <w:sz w:val="22"/>
          <w:szCs w:val="22"/>
        </w:rPr>
        <w:t xml:space="preserve"> the State Govt is insisting for payment of the inspection fees on installations of Lines and substations. Licensee is not recovering the inspection fees in the ARR previous years and proposes to allow the same as under</w:t>
      </w:r>
      <w:r w:rsidR="00ED3D21">
        <w:rPr>
          <w:rFonts w:ascii="Arial" w:hAnsi="Arial" w:cs="Arial"/>
          <w:sz w:val="22"/>
          <w:szCs w:val="22"/>
        </w:rPr>
        <w:t>:</w:t>
      </w:r>
    </w:p>
    <w:p w:rsidR="004276A0" w:rsidRPr="00D84D4B" w:rsidRDefault="004276A0" w:rsidP="00B04A3F">
      <w:pPr>
        <w:numPr>
          <w:ilvl w:val="0"/>
          <w:numId w:val="10"/>
        </w:numPr>
        <w:spacing w:line="360" w:lineRule="auto"/>
        <w:jc w:val="both"/>
        <w:rPr>
          <w:rFonts w:ascii="Arial" w:hAnsi="Arial" w:cs="Arial"/>
          <w:sz w:val="22"/>
          <w:szCs w:val="22"/>
        </w:rPr>
      </w:pPr>
      <w:r w:rsidRPr="00D84D4B">
        <w:rPr>
          <w:rFonts w:ascii="Arial" w:hAnsi="Arial" w:cs="Arial"/>
          <w:sz w:val="22"/>
          <w:szCs w:val="22"/>
        </w:rPr>
        <w:t>It is proposed that the annual inspection fees of Service connections may be imposed separately which shall be recovered from the consumers and shall be deposited on collection basis with the State Govt.</w:t>
      </w:r>
    </w:p>
    <w:p w:rsidR="004276A0" w:rsidRPr="00D84D4B" w:rsidRDefault="004276A0" w:rsidP="00B04A3F">
      <w:pPr>
        <w:numPr>
          <w:ilvl w:val="0"/>
          <w:numId w:val="10"/>
        </w:numPr>
        <w:spacing w:line="360" w:lineRule="auto"/>
        <w:jc w:val="both"/>
        <w:rPr>
          <w:rFonts w:ascii="Arial" w:hAnsi="Arial" w:cs="Arial"/>
          <w:sz w:val="22"/>
          <w:szCs w:val="22"/>
        </w:rPr>
      </w:pPr>
      <w:r w:rsidRPr="00D84D4B">
        <w:rPr>
          <w:rFonts w:ascii="Arial" w:hAnsi="Arial" w:cs="Arial"/>
          <w:sz w:val="22"/>
          <w:szCs w:val="22"/>
        </w:rPr>
        <w:t>It is proposed that the annual inspection fees for lines and substations may be passed on through the ARR for FY 2015-16.</w:t>
      </w:r>
    </w:p>
    <w:p w:rsidR="004276A0" w:rsidRPr="00D84D4B" w:rsidRDefault="004276A0" w:rsidP="00ED3D21">
      <w:pPr>
        <w:spacing w:line="360" w:lineRule="auto"/>
        <w:jc w:val="both"/>
        <w:rPr>
          <w:rFonts w:ascii="Arial" w:hAnsi="Arial" w:cs="Arial"/>
          <w:sz w:val="22"/>
          <w:szCs w:val="22"/>
        </w:rPr>
      </w:pPr>
      <w:r w:rsidRPr="00D84D4B">
        <w:rPr>
          <w:rFonts w:ascii="Arial" w:hAnsi="Arial" w:cs="Arial"/>
          <w:sz w:val="22"/>
          <w:szCs w:val="22"/>
        </w:rPr>
        <w:t xml:space="preserve">Regarding Arrear of the past years, the State Govt. may kindly be recommended to waive the same as Licensee has not recovered for the annual inspection fees of Service connections from the Domestic and Commercial consumers. </w:t>
      </w:r>
    </w:p>
    <w:p w:rsidR="004276A0" w:rsidRPr="00BF0E9D" w:rsidRDefault="004276A0" w:rsidP="004276A0">
      <w:pPr>
        <w:spacing w:line="360" w:lineRule="auto"/>
        <w:rPr>
          <w:rFonts w:ascii="Cambria" w:hAnsi="Cambria"/>
          <w:lang w:val="en-GB"/>
        </w:rPr>
      </w:pPr>
    </w:p>
    <w:p w:rsidR="004276A0" w:rsidRPr="00D84D4B" w:rsidRDefault="00235AE0" w:rsidP="000334F1">
      <w:pPr>
        <w:pStyle w:val="Heading1"/>
        <w:numPr>
          <w:ilvl w:val="2"/>
          <w:numId w:val="1"/>
        </w:numPr>
        <w:spacing w:line="360" w:lineRule="auto"/>
        <w:jc w:val="both"/>
        <w:rPr>
          <w:sz w:val="22"/>
          <w:szCs w:val="22"/>
        </w:rPr>
      </w:pPr>
      <w:bookmarkStart w:id="12" w:name="_Toc404940139"/>
      <w:r w:rsidRPr="00D84D4B">
        <w:rPr>
          <w:sz w:val="22"/>
          <w:szCs w:val="22"/>
        </w:rPr>
        <w:t>Intra State ABT &amp; Energy Audit</w:t>
      </w:r>
      <w:bookmarkEnd w:id="12"/>
    </w:p>
    <w:p w:rsidR="004276A0" w:rsidRPr="00D84D4B" w:rsidRDefault="004276A0" w:rsidP="00D84D4B">
      <w:pPr>
        <w:pStyle w:val="Footer"/>
        <w:tabs>
          <w:tab w:val="clear" w:pos="4320"/>
          <w:tab w:val="clear" w:pos="8640"/>
        </w:tabs>
        <w:spacing w:line="360" w:lineRule="auto"/>
        <w:ind w:left="360"/>
        <w:jc w:val="both"/>
        <w:rPr>
          <w:rFonts w:ascii="Arial" w:hAnsi="Arial" w:cs="Arial"/>
          <w:sz w:val="22"/>
          <w:szCs w:val="22"/>
        </w:rPr>
      </w:pPr>
      <w:r w:rsidRPr="00D84D4B">
        <w:rPr>
          <w:rFonts w:ascii="Arial" w:hAnsi="Arial" w:cs="Arial"/>
          <w:sz w:val="22"/>
          <w:szCs w:val="22"/>
        </w:rPr>
        <w:t>In spite of severe financial constraints to the extent that</w:t>
      </w:r>
      <w:r w:rsidR="00ED3D21">
        <w:rPr>
          <w:rFonts w:ascii="Arial" w:hAnsi="Arial" w:cs="Arial"/>
          <w:sz w:val="22"/>
          <w:szCs w:val="22"/>
        </w:rPr>
        <w:t>,</w:t>
      </w:r>
      <w:r w:rsidRPr="00D84D4B">
        <w:rPr>
          <w:rFonts w:ascii="Arial" w:hAnsi="Arial" w:cs="Arial"/>
          <w:sz w:val="22"/>
          <w:szCs w:val="22"/>
        </w:rPr>
        <w:t xml:space="preserve"> the licensee is unable to make timely payment of bulk power purchase bills and employee salaries, to improve customer </w:t>
      </w:r>
      <w:r w:rsidRPr="00D84D4B">
        <w:rPr>
          <w:rFonts w:ascii="Arial" w:hAnsi="Arial" w:cs="Arial"/>
          <w:sz w:val="22"/>
          <w:szCs w:val="22"/>
        </w:rPr>
        <w:lastRenderedPageBreak/>
        <w:t>services, various initiatives have been proposed by the Licensee during the ensuing year which are summarised as u</w:t>
      </w:r>
      <w:r w:rsidR="00ED3D21">
        <w:rPr>
          <w:rFonts w:ascii="Arial" w:hAnsi="Arial" w:cs="Arial"/>
          <w:sz w:val="22"/>
          <w:szCs w:val="22"/>
        </w:rPr>
        <w:t>nder:</w:t>
      </w:r>
    </w:p>
    <w:p w:rsidR="004276A0" w:rsidRPr="00D84D4B" w:rsidRDefault="00FD4688" w:rsidP="00B04A3F">
      <w:pPr>
        <w:pStyle w:val="BodyText2"/>
        <w:numPr>
          <w:ilvl w:val="0"/>
          <w:numId w:val="8"/>
        </w:numPr>
        <w:spacing w:line="360" w:lineRule="auto"/>
        <w:jc w:val="both"/>
        <w:rPr>
          <w:rFonts w:cs="Arial"/>
          <w:sz w:val="22"/>
          <w:szCs w:val="22"/>
          <w:lang w:val="en-GB"/>
        </w:rPr>
      </w:pPr>
      <w:r w:rsidRPr="00D84D4B">
        <w:rPr>
          <w:rFonts w:cs="Arial"/>
          <w:sz w:val="22"/>
          <w:szCs w:val="22"/>
          <w:lang w:val="en-GB"/>
        </w:rPr>
        <w:t xml:space="preserve">Roll out of Mobile phone based </w:t>
      </w:r>
      <w:r w:rsidR="004276A0" w:rsidRPr="00D84D4B">
        <w:rPr>
          <w:rFonts w:cs="Arial"/>
          <w:sz w:val="22"/>
          <w:szCs w:val="22"/>
          <w:lang w:val="en-GB"/>
        </w:rPr>
        <w:t>Spot Billing with stringent SLAs have been introduced to cover urban and rural consumers keeping in mind the massive additions to the consumer base from village electrification schemes</w:t>
      </w:r>
    </w:p>
    <w:p w:rsidR="004276A0" w:rsidRPr="00D84D4B" w:rsidRDefault="004276A0" w:rsidP="00B04A3F">
      <w:pPr>
        <w:pStyle w:val="BodyText2"/>
        <w:numPr>
          <w:ilvl w:val="0"/>
          <w:numId w:val="8"/>
        </w:numPr>
        <w:spacing w:line="360" w:lineRule="auto"/>
        <w:jc w:val="both"/>
        <w:rPr>
          <w:rFonts w:cs="Arial"/>
          <w:sz w:val="22"/>
          <w:szCs w:val="22"/>
          <w:lang w:val="en-GB"/>
        </w:rPr>
      </w:pPr>
      <w:r w:rsidRPr="00D84D4B">
        <w:rPr>
          <w:rFonts w:cs="Arial"/>
          <w:sz w:val="22"/>
          <w:szCs w:val="22"/>
          <w:lang w:val="en-GB"/>
        </w:rPr>
        <w:t>Creation of infrastructure to car</w:t>
      </w:r>
      <w:r w:rsidR="00ED3D21">
        <w:rPr>
          <w:rFonts w:cs="Arial"/>
          <w:sz w:val="22"/>
          <w:szCs w:val="22"/>
          <w:lang w:val="en-GB"/>
        </w:rPr>
        <w:t>ryout Enterprise-</w:t>
      </w:r>
      <w:r w:rsidRPr="00D84D4B">
        <w:rPr>
          <w:rFonts w:cs="Arial"/>
          <w:sz w:val="22"/>
          <w:szCs w:val="22"/>
          <w:lang w:val="en-GB"/>
        </w:rPr>
        <w:t>wide Energy Audit exercise has been factored in the Capex programme.</w:t>
      </w:r>
    </w:p>
    <w:p w:rsidR="004276A0" w:rsidRPr="00D84D4B" w:rsidRDefault="004276A0" w:rsidP="00B04A3F">
      <w:pPr>
        <w:pStyle w:val="BodyText2"/>
        <w:numPr>
          <w:ilvl w:val="0"/>
          <w:numId w:val="8"/>
        </w:numPr>
        <w:spacing w:line="360" w:lineRule="auto"/>
        <w:jc w:val="both"/>
        <w:rPr>
          <w:rFonts w:cs="Arial"/>
          <w:sz w:val="22"/>
          <w:szCs w:val="22"/>
          <w:lang w:val="en-GB"/>
        </w:rPr>
      </w:pPr>
      <w:r w:rsidRPr="00D84D4B">
        <w:rPr>
          <w:rFonts w:cs="Arial"/>
          <w:sz w:val="22"/>
          <w:szCs w:val="22"/>
          <w:lang w:val="en-GB"/>
        </w:rPr>
        <w:t>Implementation of Intra State ABT &amp; Energy Audit</w:t>
      </w:r>
    </w:p>
    <w:p w:rsidR="004276A0" w:rsidRPr="00D84D4B" w:rsidRDefault="004276A0" w:rsidP="00B04A3F">
      <w:pPr>
        <w:numPr>
          <w:ilvl w:val="0"/>
          <w:numId w:val="30"/>
        </w:numPr>
        <w:spacing w:line="360" w:lineRule="auto"/>
        <w:rPr>
          <w:rFonts w:ascii="Arial" w:hAnsi="Arial" w:cs="Arial"/>
          <w:b/>
          <w:sz w:val="22"/>
          <w:szCs w:val="22"/>
        </w:rPr>
      </w:pPr>
      <w:r w:rsidRPr="00D84D4B">
        <w:rPr>
          <w:rFonts w:ascii="Arial" w:hAnsi="Arial" w:cs="Arial"/>
          <w:b/>
          <w:sz w:val="22"/>
          <w:szCs w:val="22"/>
        </w:rPr>
        <w:t>Intra State ABT</w:t>
      </w:r>
    </w:p>
    <w:p w:rsidR="004276A0" w:rsidRPr="00D84D4B" w:rsidRDefault="004276A0" w:rsidP="00D84D4B">
      <w:pPr>
        <w:pStyle w:val="Footer"/>
        <w:tabs>
          <w:tab w:val="clear" w:pos="4320"/>
          <w:tab w:val="clear" w:pos="8640"/>
        </w:tabs>
        <w:spacing w:line="360" w:lineRule="auto"/>
        <w:ind w:left="360"/>
        <w:jc w:val="both"/>
        <w:rPr>
          <w:rFonts w:ascii="Arial" w:hAnsi="Arial" w:cs="Arial"/>
          <w:sz w:val="22"/>
          <w:szCs w:val="22"/>
        </w:rPr>
      </w:pPr>
      <w:r w:rsidRPr="00D84D4B">
        <w:rPr>
          <w:rFonts w:ascii="Arial" w:hAnsi="Arial" w:cs="Arial"/>
          <w:sz w:val="22"/>
          <w:szCs w:val="22"/>
        </w:rPr>
        <w:t xml:space="preserve">That Hon’ble Commission  vide its order dated 14.09.2011 in para 15.7 has directed all DISCOMs as follows: </w:t>
      </w:r>
    </w:p>
    <w:p w:rsidR="004276A0" w:rsidRPr="00D84D4B" w:rsidRDefault="004276A0" w:rsidP="00D84D4B">
      <w:pPr>
        <w:pStyle w:val="Footer"/>
        <w:tabs>
          <w:tab w:val="clear" w:pos="4320"/>
          <w:tab w:val="clear" w:pos="8640"/>
        </w:tabs>
        <w:spacing w:line="360" w:lineRule="auto"/>
        <w:ind w:left="360"/>
        <w:jc w:val="both"/>
        <w:rPr>
          <w:rFonts w:ascii="Arial" w:hAnsi="Arial" w:cs="Arial"/>
          <w:i/>
          <w:sz w:val="22"/>
          <w:szCs w:val="22"/>
        </w:rPr>
      </w:pPr>
      <w:r w:rsidRPr="00D84D4B">
        <w:rPr>
          <w:rFonts w:ascii="Arial" w:hAnsi="Arial" w:cs="Arial"/>
          <w:i/>
          <w:sz w:val="22"/>
          <w:szCs w:val="22"/>
        </w:rPr>
        <w:t xml:space="preserve">“ We direct all DISCOMs to organize their DSOCCs by October,2011 with requisite men, hardware &amp; software to man on 24 X 7 basis under the direct control of very senior level Officer to vigorously monitor the schedule and drawl and Optimal load management in actual operation with effect from 1st January 2012.” </w:t>
      </w:r>
    </w:p>
    <w:p w:rsidR="004276A0" w:rsidRPr="00D84D4B" w:rsidRDefault="004276A0" w:rsidP="00D84D4B">
      <w:pPr>
        <w:pStyle w:val="Footer"/>
        <w:tabs>
          <w:tab w:val="clear" w:pos="4320"/>
          <w:tab w:val="clear" w:pos="8640"/>
        </w:tabs>
        <w:spacing w:line="360" w:lineRule="auto"/>
        <w:ind w:left="360"/>
        <w:jc w:val="both"/>
        <w:rPr>
          <w:rFonts w:ascii="Arial" w:hAnsi="Arial" w:cs="Arial"/>
          <w:sz w:val="22"/>
          <w:szCs w:val="22"/>
        </w:rPr>
      </w:pPr>
    </w:p>
    <w:p w:rsidR="004276A0" w:rsidRPr="00D84D4B" w:rsidRDefault="00EC38CD" w:rsidP="00D84D4B">
      <w:pPr>
        <w:pStyle w:val="Footer"/>
        <w:tabs>
          <w:tab w:val="clear" w:pos="4320"/>
          <w:tab w:val="clear" w:pos="8640"/>
        </w:tabs>
        <w:spacing w:line="360" w:lineRule="auto"/>
        <w:ind w:left="360"/>
        <w:jc w:val="both"/>
        <w:rPr>
          <w:rFonts w:ascii="Arial" w:hAnsi="Arial" w:cs="Arial"/>
          <w:sz w:val="22"/>
          <w:szCs w:val="22"/>
        </w:rPr>
      </w:pPr>
      <w:r w:rsidRPr="00D84D4B">
        <w:rPr>
          <w:rFonts w:ascii="Arial" w:hAnsi="Arial" w:cs="Arial"/>
          <w:sz w:val="22"/>
          <w:szCs w:val="22"/>
        </w:rPr>
        <w:t xml:space="preserve">The licensee has established an ABT Cell and is in operation. As of now, the </w:t>
      </w:r>
      <w:r w:rsidR="00D84D4B">
        <w:rPr>
          <w:rFonts w:ascii="Arial" w:hAnsi="Arial" w:cs="Arial"/>
          <w:sz w:val="22"/>
          <w:szCs w:val="22"/>
        </w:rPr>
        <w:t xml:space="preserve"> DSOCC of N</w:t>
      </w:r>
      <w:r w:rsidR="004276A0" w:rsidRPr="00D84D4B">
        <w:rPr>
          <w:rFonts w:ascii="Arial" w:hAnsi="Arial" w:cs="Arial"/>
          <w:sz w:val="22"/>
          <w:szCs w:val="22"/>
        </w:rPr>
        <w:t xml:space="preserve">ESCO presently operating on off line mode </w:t>
      </w:r>
      <w:r w:rsidR="00A36001" w:rsidRPr="00D84D4B">
        <w:rPr>
          <w:rFonts w:ascii="Arial" w:hAnsi="Arial" w:cs="Arial"/>
          <w:sz w:val="22"/>
          <w:szCs w:val="22"/>
        </w:rPr>
        <w:t xml:space="preserve">is </w:t>
      </w:r>
      <w:r w:rsidR="004276A0" w:rsidRPr="00D84D4B">
        <w:rPr>
          <w:rFonts w:ascii="Arial" w:hAnsi="Arial" w:cs="Arial"/>
          <w:sz w:val="22"/>
          <w:szCs w:val="22"/>
        </w:rPr>
        <w:t>with limited infrastructural facilities. For real t</w:t>
      </w:r>
      <w:r w:rsidR="00D84D4B">
        <w:rPr>
          <w:rFonts w:ascii="Arial" w:hAnsi="Arial" w:cs="Arial"/>
          <w:sz w:val="22"/>
          <w:szCs w:val="22"/>
        </w:rPr>
        <w:t>ime online operation of DSOCC, N</w:t>
      </w:r>
      <w:r w:rsidR="004276A0" w:rsidRPr="00D84D4B">
        <w:rPr>
          <w:rFonts w:ascii="Arial" w:hAnsi="Arial" w:cs="Arial"/>
          <w:sz w:val="22"/>
          <w:szCs w:val="22"/>
        </w:rPr>
        <w:t>ESCO needs further development and  investment on  automation of DSCOC for real time Monitoring and Controlling the  drawal of DISCOMs</w:t>
      </w:r>
    </w:p>
    <w:p w:rsidR="00D84D4B" w:rsidRDefault="00D84D4B" w:rsidP="004276A0">
      <w:pPr>
        <w:pStyle w:val="ListParagraph"/>
        <w:spacing w:line="360" w:lineRule="auto"/>
        <w:ind w:left="0"/>
        <w:jc w:val="both"/>
        <w:rPr>
          <w:rFonts w:ascii="Arial" w:hAnsi="Arial" w:cs="Arial"/>
          <w:b/>
          <w:u w:val="single"/>
        </w:rPr>
      </w:pPr>
    </w:p>
    <w:p w:rsidR="004276A0" w:rsidRPr="00D84D4B" w:rsidRDefault="004276A0" w:rsidP="004276A0">
      <w:pPr>
        <w:pStyle w:val="ListParagraph"/>
        <w:spacing w:line="360" w:lineRule="auto"/>
        <w:ind w:left="0"/>
        <w:jc w:val="both"/>
        <w:rPr>
          <w:rFonts w:ascii="Arial" w:hAnsi="Arial" w:cs="Arial"/>
        </w:rPr>
      </w:pPr>
      <w:r w:rsidRPr="00D84D4B">
        <w:rPr>
          <w:rFonts w:ascii="Arial" w:hAnsi="Arial" w:cs="Arial"/>
          <w:b/>
          <w:u w:val="single"/>
        </w:rPr>
        <w:t>Physical Infrastructure and Office automation</w:t>
      </w:r>
      <w:r w:rsidRPr="00D84D4B">
        <w:rPr>
          <w:rFonts w:ascii="Arial" w:hAnsi="Arial" w:cs="Arial"/>
        </w:rPr>
        <w:t>.</w:t>
      </w:r>
    </w:p>
    <w:p w:rsidR="004276A0" w:rsidRPr="00D84D4B" w:rsidRDefault="004276A0" w:rsidP="00D84D4B">
      <w:pPr>
        <w:pStyle w:val="Footer"/>
        <w:tabs>
          <w:tab w:val="clear" w:pos="4320"/>
          <w:tab w:val="clear" w:pos="8640"/>
        </w:tabs>
        <w:spacing w:line="360" w:lineRule="auto"/>
        <w:ind w:left="360"/>
        <w:jc w:val="both"/>
        <w:rPr>
          <w:rFonts w:ascii="Arial" w:hAnsi="Arial" w:cs="Arial"/>
          <w:sz w:val="22"/>
          <w:szCs w:val="22"/>
        </w:rPr>
      </w:pPr>
      <w:r w:rsidRPr="00D84D4B">
        <w:rPr>
          <w:rFonts w:ascii="Arial" w:hAnsi="Arial" w:cs="Arial"/>
          <w:sz w:val="22"/>
          <w:szCs w:val="22"/>
        </w:rPr>
        <w:t>Accord</w:t>
      </w:r>
      <w:r w:rsidR="00D84D4B" w:rsidRPr="00D84D4B">
        <w:rPr>
          <w:rFonts w:ascii="Arial" w:hAnsi="Arial" w:cs="Arial"/>
          <w:sz w:val="22"/>
          <w:szCs w:val="22"/>
        </w:rPr>
        <w:t>ing to present preparedness of N</w:t>
      </w:r>
      <w:r w:rsidRPr="00D84D4B">
        <w:rPr>
          <w:rFonts w:ascii="Arial" w:hAnsi="Arial" w:cs="Arial"/>
          <w:sz w:val="22"/>
          <w:szCs w:val="22"/>
        </w:rPr>
        <w:t>ESCO Distribution System Operation Control Centers(</w:t>
      </w:r>
      <w:r w:rsidR="00ED3D21">
        <w:rPr>
          <w:rFonts w:ascii="Arial" w:hAnsi="Arial" w:cs="Arial"/>
          <w:sz w:val="22"/>
          <w:szCs w:val="22"/>
        </w:rPr>
        <w:t xml:space="preserve">DSOCC) has been operating </w:t>
      </w:r>
      <w:r w:rsidRPr="00D84D4B">
        <w:rPr>
          <w:rFonts w:ascii="Arial" w:hAnsi="Arial" w:cs="Arial"/>
          <w:sz w:val="22"/>
          <w:szCs w:val="22"/>
        </w:rPr>
        <w:t>with limited in</w:t>
      </w:r>
      <w:r w:rsidR="00ED3D21">
        <w:rPr>
          <w:rFonts w:ascii="Arial" w:hAnsi="Arial" w:cs="Arial"/>
          <w:sz w:val="22"/>
          <w:szCs w:val="22"/>
        </w:rPr>
        <w:t>frastructure like one Computer, One Fax Machine</w:t>
      </w:r>
      <w:r w:rsidR="003D79C4">
        <w:rPr>
          <w:rFonts w:ascii="Arial" w:hAnsi="Arial" w:cs="Arial"/>
          <w:sz w:val="22"/>
          <w:szCs w:val="22"/>
        </w:rPr>
        <w:t>, Tel</w:t>
      </w:r>
      <w:r w:rsidRPr="00D84D4B">
        <w:rPr>
          <w:rFonts w:ascii="Arial" w:hAnsi="Arial" w:cs="Arial"/>
          <w:sz w:val="22"/>
          <w:szCs w:val="22"/>
        </w:rPr>
        <w:t>ephon</w:t>
      </w:r>
      <w:r w:rsidR="00ED3D21">
        <w:rPr>
          <w:rFonts w:ascii="Arial" w:hAnsi="Arial" w:cs="Arial"/>
          <w:sz w:val="22"/>
          <w:szCs w:val="22"/>
        </w:rPr>
        <w:t>e with broadband connection etc</w:t>
      </w:r>
      <w:r w:rsidRPr="00D84D4B">
        <w:rPr>
          <w:rFonts w:ascii="Arial" w:hAnsi="Arial" w:cs="Arial"/>
          <w:sz w:val="22"/>
          <w:szCs w:val="22"/>
        </w:rPr>
        <w:t xml:space="preserve">. </w:t>
      </w:r>
    </w:p>
    <w:p w:rsidR="00D84D4B" w:rsidRDefault="00D84D4B" w:rsidP="004276A0">
      <w:pPr>
        <w:pStyle w:val="ListParagraph"/>
        <w:spacing w:line="360" w:lineRule="auto"/>
        <w:ind w:left="0"/>
        <w:jc w:val="both"/>
        <w:rPr>
          <w:rFonts w:ascii="Arial" w:hAnsi="Arial" w:cs="Arial"/>
          <w:b/>
          <w:u w:val="single"/>
        </w:rPr>
      </w:pPr>
    </w:p>
    <w:p w:rsidR="004276A0" w:rsidRPr="00D84D4B" w:rsidRDefault="004276A0" w:rsidP="004276A0">
      <w:pPr>
        <w:pStyle w:val="ListParagraph"/>
        <w:spacing w:line="360" w:lineRule="auto"/>
        <w:ind w:left="0"/>
        <w:jc w:val="both"/>
        <w:rPr>
          <w:rFonts w:ascii="Arial" w:hAnsi="Arial" w:cs="Arial"/>
          <w:b/>
          <w:u w:val="single"/>
        </w:rPr>
      </w:pPr>
      <w:r w:rsidRPr="00D84D4B">
        <w:rPr>
          <w:rFonts w:ascii="Arial" w:hAnsi="Arial" w:cs="Arial"/>
          <w:b/>
          <w:u w:val="single"/>
        </w:rPr>
        <w:t>Metering with Connectivity to DSOCC :</w:t>
      </w:r>
    </w:p>
    <w:p w:rsidR="004276A0" w:rsidRPr="00D84D4B" w:rsidRDefault="003D79C4" w:rsidP="00D84D4B">
      <w:pPr>
        <w:pStyle w:val="Footer"/>
        <w:tabs>
          <w:tab w:val="clear" w:pos="4320"/>
          <w:tab w:val="clear" w:pos="8640"/>
        </w:tabs>
        <w:spacing w:line="360" w:lineRule="auto"/>
        <w:ind w:left="360"/>
        <w:jc w:val="both"/>
        <w:rPr>
          <w:rFonts w:ascii="Arial" w:hAnsi="Arial" w:cs="Arial"/>
          <w:sz w:val="22"/>
          <w:szCs w:val="22"/>
        </w:rPr>
      </w:pPr>
      <w:r>
        <w:rPr>
          <w:rFonts w:ascii="Arial" w:hAnsi="Arial" w:cs="Arial"/>
          <w:sz w:val="22"/>
          <w:szCs w:val="22"/>
        </w:rPr>
        <w:t>The exis</w:t>
      </w:r>
      <w:r w:rsidR="00A36001" w:rsidRPr="00D84D4B">
        <w:rPr>
          <w:rFonts w:ascii="Arial" w:hAnsi="Arial" w:cs="Arial"/>
          <w:sz w:val="22"/>
          <w:szCs w:val="22"/>
        </w:rPr>
        <w:t xml:space="preserve">ting meters </w:t>
      </w:r>
      <w:r w:rsidR="004276A0" w:rsidRPr="00D84D4B">
        <w:rPr>
          <w:rFonts w:ascii="Arial" w:hAnsi="Arial" w:cs="Arial"/>
          <w:sz w:val="22"/>
          <w:szCs w:val="22"/>
        </w:rPr>
        <w:t>at the 33 KV outgo</w:t>
      </w:r>
      <w:r>
        <w:rPr>
          <w:rFonts w:ascii="Arial" w:hAnsi="Arial" w:cs="Arial"/>
          <w:sz w:val="22"/>
          <w:szCs w:val="22"/>
        </w:rPr>
        <w:t xml:space="preserve">ing feeders at OPTCL </w:t>
      </w:r>
      <w:r w:rsidR="004276A0" w:rsidRPr="00D84D4B">
        <w:rPr>
          <w:rFonts w:ascii="Arial" w:hAnsi="Arial" w:cs="Arial"/>
          <w:sz w:val="22"/>
          <w:szCs w:val="22"/>
        </w:rPr>
        <w:t xml:space="preserve">Grid S/S </w:t>
      </w:r>
      <w:r w:rsidR="00A36001" w:rsidRPr="00D84D4B">
        <w:rPr>
          <w:rFonts w:ascii="Arial" w:hAnsi="Arial" w:cs="Arial"/>
          <w:sz w:val="22"/>
          <w:szCs w:val="22"/>
        </w:rPr>
        <w:t xml:space="preserve">are </w:t>
      </w:r>
      <w:r>
        <w:rPr>
          <w:rFonts w:ascii="Arial" w:hAnsi="Arial" w:cs="Arial"/>
          <w:sz w:val="22"/>
          <w:szCs w:val="22"/>
        </w:rPr>
        <w:t xml:space="preserve">used as check meters </w:t>
      </w:r>
      <w:r w:rsidR="004276A0" w:rsidRPr="00D84D4B">
        <w:rPr>
          <w:rFonts w:ascii="Arial" w:hAnsi="Arial" w:cs="Arial"/>
          <w:sz w:val="22"/>
          <w:szCs w:val="22"/>
        </w:rPr>
        <w:t>for bulk supply metering</w:t>
      </w:r>
      <w:r w:rsidR="00A36001" w:rsidRPr="00D84D4B">
        <w:rPr>
          <w:rFonts w:ascii="Arial" w:hAnsi="Arial" w:cs="Arial"/>
          <w:sz w:val="22"/>
          <w:szCs w:val="22"/>
        </w:rPr>
        <w:t xml:space="preserve">. There </w:t>
      </w:r>
      <w:r w:rsidR="004276A0" w:rsidRPr="00D84D4B">
        <w:rPr>
          <w:rFonts w:ascii="Arial" w:hAnsi="Arial" w:cs="Arial"/>
          <w:sz w:val="22"/>
          <w:szCs w:val="22"/>
        </w:rPr>
        <w:t>is no arrangement for real time data transfer for ABT monitoring</w:t>
      </w:r>
      <w:r w:rsidR="00A36001" w:rsidRPr="00D84D4B">
        <w:rPr>
          <w:rFonts w:ascii="Arial" w:hAnsi="Arial" w:cs="Arial"/>
          <w:sz w:val="22"/>
          <w:szCs w:val="22"/>
        </w:rPr>
        <w:t xml:space="preserve"> and data retrieval is on a historical basis.</w:t>
      </w:r>
      <w:r w:rsidR="004276A0" w:rsidRPr="00D84D4B">
        <w:rPr>
          <w:rFonts w:ascii="Arial" w:hAnsi="Arial" w:cs="Arial"/>
          <w:sz w:val="22"/>
          <w:szCs w:val="22"/>
        </w:rPr>
        <w:t xml:space="preserve">  For availability of real time data at DSOCC  Meters having real time data transfer facility need to be installed in all the 33 KV and 11 KV feeders with installation of Data Concentrator Units to transfer the data  to DSOCC on real time basis for monitoring and controlling of drawal of DISCOMs.</w:t>
      </w:r>
    </w:p>
    <w:p w:rsidR="00D84D4B" w:rsidRDefault="00D84D4B" w:rsidP="004276A0">
      <w:pPr>
        <w:pStyle w:val="ListParagraph"/>
        <w:spacing w:line="360" w:lineRule="auto"/>
        <w:ind w:left="0"/>
        <w:jc w:val="both"/>
        <w:rPr>
          <w:rFonts w:ascii="Arial" w:hAnsi="Arial" w:cs="Arial"/>
          <w:b/>
          <w:u w:val="single"/>
        </w:rPr>
      </w:pPr>
    </w:p>
    <w:p w:rsidR="004276A0" w:rsidRPr="00D84D4B" w:rsidRDefault="004276A0" w:rsidP="004276A0">
      <w:pPr>
        <w:pStyle w:val="ListParagraph"/>
        <w:spacing w:line="360" w:lineRule="auto"/>
        <w:ind w:left="0"/>
        <w:jc w:val="both"/>
        <w:rPr>
          <w:rFonts w:ascii="Arial" w:hAnsi="Arial" w:cs="Arial"/>
          <w:b/>
          <w:u w:val="single"/>
        </w:rPr>
      </w:pPr>
      <w:r w:rsidRPr="00D84D4B">
        <w:rPr>
          <w:rFonts w:ascii="Arial" w:hAnsi="Arial" w:cs="Arial"/>
          <w:b/>
          <w:u w:val="single"/>
        </w:rPr>
        <w:lastRenderedPageBreak/>
        <w:t>Server, Digi</w:t>
      </w:r>
      <w:r w:rsidR="003D79C4">
        <w:rPr>
          <w:rFonts w:ascii="Arial" w:hAnsi="Arial" w:cs="Arial"/>
          <w:b/>
          <w:u w:val="single"/>
        </w:rPr>
        <w:t xml:space="preserve">tal Display Board and </w:t>
      </w:r>
      <w:r w:rsidRPr="00D84D4B">
        <w:rPr>
          <w:rFonts w:ascii="Arial" w:hAnsi="Arial" w:cs="Arial"/>
          <w:b/>
          <w:u w:val="single"/>
        </w:rPr>
        <w:t xml:space="preserve">Software   </w:t>
      </w:r>
    </w:p>
    <w:p w:rsidR="004276A0" w:rsidRPr="00D84D4B" w:rsidRDefault="00A36001" w:rsidP="00D84D4B">
      <w:pPr>
        <w:pStyle w:val="Footer"/>
        <w:tabs>
          <w:tab w:val="clear" w:pos="4320"/>
          <w:tab w:val="clear" w:pos="8640"/>
        </w:tabs>
        <w:spacing w:line="360" w:lineRule="auto"/>
        <w:ind w:left="360"/>
        <w:jc w:val="both"/>
        <w:rPr>
          <w:rFonts w:ascii="Arial" w:hAnsi="Arial" w:cs="Arial"/>
          <w:sz w:val="22"/>
          <w:szCs w:val="22"/>
        </w:rPr>
      </w:pPr>
      <w:r w:rsidRPr="00D84D4B">
        <w:rPr>
          <w:rFonts w:ascii="Arial" w:hAnsi="Arial" w:cs="Arial"/>
          <w:sz w:val="22"/>
          <w:szCs w:val="22"/>
        </w:rPr>
        <w:t xml:space="preserve">For storage of meter data, a </w:t>
      </w:r>
      <w:r w:rsidR="004276A0" w:rsidRPr="00D84D4B">
        <w:rPr>
          <w:rFonts w:ascii="Arial" w:hAnsi="Arial" w:cs="Arial"/>
          <w:sz w:val="22"/>
          <w:szCs w:val="22"/>
        </w:rPr>
        <w:t>Server</w:t>
      </w:r>
      <w:r w:rsidRPr="00D84D4B">
        <w:rPr>
          <w:rFonts w:ascii="Arial" w:hAnsi="Arial" w:cs="Arial"/>
          <w:sz w:val="22"/>
          <w:szCs w:val="22"/>
        </w:rPr>
        <w:t xml:space="preserve"> is required in </w:t>
      </w:r>
      <w:r w:rsidR="004276A0" w:rsidRPr="00D84D4B">
        <w:rPr>
          <w:rFonts w:ascii="Arial" w:hAnsi="Arial" w:cs="Arial"/>
          <w:sz w:val="22"/>
          <w:szCs w:val="22"/>
        </w:rPr>
        <w:t xml:space="preserve">DSOCC. </w:t>
      </w:r>
      <w:r w:rsidRPr="00D84D4B">
        <w:rPr>
          <w:rFonts w:ascii="Arial" w:hAnsi="Arial" w:cs="Arial"/>
          <w:sz w:val="22"/>
          <w:szCs w:val="22"/>
        </w:rPr>
        <w:t xml:space="preserve">Additionally, there </w:t>
      </w:r>
      <w:r w:rsidR="004276A0" w:rsidRPr="00D84D4B">
        <w:rPr>
          <w:rFonts w:ascii="Arial" w:hAnsi="Arial" w:cs="Arial"/>
          <w:sz w:val="22"/>
          <w:szCs w:val="22"/>
        </w:rPr>
        <w:t xml:space="preserve"> is requirement of </w:t>
      </w:r>
      <w:r w:rsidR="00041054" w:rsidRPr="00D84D4B">
        <w:rPr>
          <w:rFonts w:ascii="Arial" w:hAnsi="Arial" w:cs="Arial"/>
          <w:sz w:val="22"/>
          <w:szCs w:val="22"/>
        </w:rPr>
        <w:t xml:space="preserve">an </w:t>
      </w:r>
      <w:r w:rsidR="004276A0" w:rsidRPr="00D84D4B">
        <w:rPr>
          <w:rFonts w:ascii="Arial" w:hAnsi="Arial" w:cs="Arial"/>
          <w:sz w:val="22"/>
          <w:szCs w:val="22"/>
        </w:rPr>
        <w:t xml:space="preserve"> digital display board at the DSOCC which will  show real time  energy availability vrs  DISCOM drawl data and feeder wis</w:t>
      </w:r>
      <w:r w:rsidR="003D79C4">
        <w:rPr>
          <w:rFonts w:ascii="Arial" w:hAnsi="Arial" w:cs="Arial"/>
          <w:sz w:val="22"/>
          <w:szCs w:val="22"/>
        </w:rPr>
        <w:t>e  drawal data</w:t>
      </w:r>
      <w:r w:rsidR="004276A0" w:rsidRPr="00D84D4B">
        <w:rPr>
          <w:rFonts w:ascii="Arial" w:hAnsi="Arial" w:cs="Arial"/>
          <w:sz w:val="22"/>
          <w:szCs w:val="22"/>
        </w:rPr>
        <w:t>, Frequency Vrs UI Rate   etc in an integrated manner.</w:t>
      </w:r>
    </w:p>
    <w:p w:rsidR="004276A0" w:rsidRPr="00D84D4B" w:rsidRDefault="00A36001" w:rsidP="00D84D4B">
      <w:pPr>
        <w:pStyle w:val="Footer"/>
        <w:tabs>
          <w:tab w:val="clear" w:pos="4320"/>
          <w:tab w:val="clear" w:pos="8640"/>
        </w:tabs>
        <w:spacing w:line="360" w:lineRule="auto"/>
        <w:ind w:left="360"/>
        <w:jc w:val="both"/>
        <w:rPr>
          <w:rFonts w:ascii="Arial" w:hAnsi="Arial" w:cs="Arial"/>
          <w:sz w:val="22"/>
          <w:szCs w:val="22"/>
        </w:rPr>
      </w:pPr>
      <w:r w:rsidRPr="00D84D4B">
        <w:rPr>
          <w:rFonts w:ascii="Arial" w:hAnsi="Arial" w:cs="Arial"/>
          <w:sz w:val="22"/>
          <w:szCs w:val="22"/>
        </w:rPr>
        <w:t xml:space="preserve">There is a </w:t>
      </w:r>
      <w:r w:rsidR="004276A0" w:rsidRPr="00D84D4B">
        <w:rPr>
          <w:rFonts w:ascii="Arial" w:hAnsi="Arial" w:cs="Arial"/>
          <w:sz w:val="22"/>
          <w:szCs w:val="22"/>
        </w:rPr>
        <w:t>need to have a Software</w:t>
      </w:r>
      <w:r w:rsidRPr="00D84D4B">
        <w:rPr>
          <w:rFonts w:ascii="Arial" w:hAnsi="Arial" w:cs="Arial"/>
          <w:sz w:val="22"/>
          <w:szCs w:val="22"/>
        </w:rPr>
        <w:t xml:space="preserve"> at the DSOCC, that aggregates</w:t>
      </w:r>
      <w:r w:rsidR="004276A0" w:rsidRPr="00D84D4B">
        <w:rPr>
          <w:rFonts w:ascii="Arial" w:hAnsi="Arial" w:cs="Arial"/>
          <w:sz w:val="22"/>
          <w:szCs w:val="22"/>
        </w:rPr>
        <w:t xml:space="preserve"> data  from all the feeder metering points on real-time basis and correspondingly final allocated schedule data has to be matched with drawal. </w:t>
      </w:r>
      <w:r w:rsidR="004B50DE" w:rsidRPr="00D84D4B">
        <w:rPr>
          <w:rFonts w:ascii="Arial" w:hAnsi="Arial" w:cs="Arial"/>
          <w:sz w:val="22"/>
          <w:szCs w:val="22"/>
        </w:rPr>
        <w:t xml:space="preserve">In the absence of </w:t>
      </w:r>
      <w:r w:rsidR="004276A0" w:rsidRPr="00D84D4B">
        <w:rPr>
          <w:rFonts w:ascii="Arial" w:hAnsi="Arial" w:cs="Arial"/>
          <w:sz w:val="22"/>
          <w:szCs w:val="22"/>
        </w:rPr>
        <w:t xml:space="preserve"> the Software it is impossible to manually handle the process. </w:t>
      </w:r>
      <w:r w:rsidR="004B50DE" w:rsidRPr="00D84D4B">
        <w:rPr>
          <w:rFonts w:ascii="Arial" w:hAnsi="Arial" w:cs="Arial"/>
          <w:sz w:val="22"/>
          <w:szCs w:val="22"/>
        </w:rPr>
        <w:t xml:space="preserve">For efficacious decision making the </w:t>
      </w:r>
      <w:r w:rsidR="004276A0" w:rsidRPr="00D84D4B">
        <w:rPr>
          <w:rFonts w:ascii="Arial" w:hAnsi="Arial" w:cs="Arial"/>
          <w:sz w:val="22"/>
          <w:szCs w:val="22"/>
        </w:rPr>
        <w:t xml:space="preserve">analysis software is also required which will  generate following reports </w:t>
      </w:r>
      <w:r w:rsidR="004B50DE" w:rsidRPr="00D84D4B">
        <w:rPr>
          <w:rFonts w:ascii="Arial" w:hAnsi="Arial" w:cs="Arial"/>
          <w:sz w:val="22"/>
          <w:szCs w:val="22"/>
        </w:rPr>
        <w:t xml:space="preserve"> such as under</w:t>
      </w:r>
    </w:p>
    <w:p w:rsidR="004276A0" w:rsidRPr="00D84D4B" w:rsidRDefault="004276A0" w:rsidP="00B04A3F">
      <w:pPr>
        <w:numPr>
          <w:ilvl w:val="0"/>
          <w:numId w:val="19"/>
        </w:numPr>
        <w:spacing w:line="360" w:lineRule="auto"/>
        <w:jc w:val="both"/>
        <w:rPr>
          <w:rFonts w:ascii="Arial" w:hAnsi="Arial" w:cs="Arial"/>
          <w:sz w:val="22"/>
          <w:szCs w:val="22"/>
        </w:rPr>
      </w:pPr>
      <w:r w:rsidRPr="00D84D4B">
        <w:rPr>
          <w:rFonts w:ascii="Arial" w:hAnsi="Arial" w:cs="Arial"/>
          <w:sz w:val="22"/>
          <w:szCs w:val="22"/>
        </w:rPr>
        <w:t>DISCOM wise Schedule and  Dra</w:t>
      </w:r>
      <w:r w:rsidR="0008021D">
        <w:rPr>
          <w:rFonts w:ascii="Arial" w:hAnsi="Arial" w:cs="Arial"/>
          <w:sz w:val="22"/>
          <w:szCs w:val="22"/>
        </w:rPr>
        <w:t xml:space="preserve">wal  Reports ( </w:t>
      </w:r>
      <w:r w:rsidRPr="00D84D4B">
        <w:rPr>
          <w:rFonts w:ascii="Arial" w:hAnsi="Arial" w:cs="Arial"/>
          <w:sz w:val="22"/>
          <w:szCs w:val="22"/>
        </w:rPr>
        <w:t>SLDC  vrs AMR)</w:t>
      </w:r>
    </w:p>
    <w:p w:rsidR="004276A0" w:rsidRPr="00D84D4B" w:rsidRDefault="004276A0" w:rsidP="00B04A3F">
      <w:pPr>
        <w:numPr>
          <w:ilvl w:val="0"/>
          <w:numId w:val="19"/>
        </w:numPr>
        <w:spacing w:line="360" w:lineRule="auto"/>
        <w:jc w:val="both"/>
        <w:rPr>
          <w:rFonts w:ascii="Arial" w:hAnsi="Arial" w:cs="Arial"/>
          <w:sz w:val="22"/>
          <w:szCs w:val="22"/>
        </w:rPr>
      </w:pPr>
      <w:r w:rsidRPr="00D84D4B">
        <w:rPr>
          <w:rFonts w:ascii="Arial" w:hAnsi="Arial" w:cs="Arial"/>
          <w:sz w:val="22"/>
          <w:szCs w:val="22"/>
        </w:rPr>
        <w:t xml:space="preserve">DISCOM wise Schedule and Drawal Graph . </w:t>
      </w:r>
    </w:p>
    <w:p w:rsidR="004276A0" w:rsidRPr="00D84D4B" w:rsidRDefault="004276A0" w:rsidP="00B04A3F">
      <w:pPr>
        <w:numPr>
          <w:ilvl w:val="0"/>
          <w:numId w:val="19"/>
        </w:numPr>
        <w:spacing w:line="360" w:lineRule="auto"/>
        <w:jc w:val="both"/>
        <w:rPr>
          <w:rFonts w:ascii="Arial" w:hAnsi="Arial" w:cs="Arial"/>
          <w:sz w:val="22"/>
          <w:szCs w:val="22"/>
        </w:rPr>
      </w:pPr>
      <w:r w:rsidRPr="00D84D4B">
        <w:rPr>
          <w:rFonts w:ascii="Arial" w:hAnsi="Arial" w:cs="Arial"/>
          <w:sz w:val="22"/>
          <w:szCs w:val="22"/>
        </w:rPr>
        <w:t>DISCOM wise Schedule and Drawal graph monthly .</w:t>
      </w:r>
    </w:p>
    <w:p w:rsidR="004276A0" w:rsidRPr="00D84D4B" w:rsidRDefault="004276A0" w:rsidP="00B04A3F">
      <w:pPr>
        <w:numPr>
          <w:ilvl w:val="0"/>
          <w:numId w:val="19"/>
        </w:numPr>
        <w:spacing w:line="360" w:lineRule="auto"/>
        <w:jc w:val="both"/>
        <w:rPr>
          <w:rFonts w:ascii="Arial" w:hAnsi="Arial" w:cs="Arial"/>
          <w:sz w:val="22"/>
          <w:szCs w:val="22"/>
        </w:rPr>
      </w:pPr>
      <w:r w:rsidRPr="00D84D4B">
        <w:rPr>
          <w:rFonts w:ascii="Arial" w:hAnsi="Arial" w:cs="Arial"/>
          <w:sz w:val="22"/>
          <w:szCs w:val="22"/>
        </w:rPr>
        <w:t xml:space="preserve">Report on frequency and UI  rate daily trend </w:t>
      </w:r>
    </w:p>
    <w:p w:rsidR="004276A0" w:rsidRPr="00D84D4B" w:rsidRDefault="004276A0" w:rsidP="00B04A3F">
      <w:pPr>
        <w:numPr>
          <w:ilvl w:val="0"/>
          <w:numId w:val="19"/>
        </w:numPr>
        <w:spacing w:line="360" w:lineRule="auto"/>
        <w:jc w:val="both"/>
        <w:rPr>
          <w:rFonts w:ascii="Arial" w:hAnsi="Arial" w:cs="Arial"/>
          <w:sz w:val="22"/>
          <w:szCs w:val="22"/>
        </w:rPr>
      </w:pPr>
      <w:r w:rsidRPr="00D84D4B">
        <w:rPr>
          <w:rFonts w:ascii="Arial" w:hAnsi="Arial" w:cs="Arial"/>
          <w:sz w:val="22"/>
          <w:szCs w:val="22"/>
        </w:rPr>
        <w:t xml:space="preserve">Frequency and UI rate history. </w:t>
      </w:r>
    </w:p>
    <w:p w:rsidR="004276A0" w:rsidRPr="00D84D4B" w:rsidRDefault="004276A0" w:rsidP="00B04A3F">
      <w:pPr>
        <w:numPr>
          <w:ilvl w:val="0"/>
          <w:numId w:val="19"/>
        </w:numPr>
        <w:spacing w:line="360" w:lineRule="auto"/>
        <w:jc w:val="both"/>
        <w:rPr>
          <w:rFonts w:ascii="Arial" w:hAnsi="Arial" w:cs="Arial"/>
          <w:sz w:val="22"/>
          <w:szCs w:val="22"/>
        </w:rPr>
      </w:pPr>
      <w:r w:rsidRPr="00D84D4B">
        <w:rPr>
          <w:rFonts w:ascii="Arial" w:hAnsi="Arial" w:cs="Arial"/>
          <w:sz w:val="22"/>
          <w:szCs w:val="22"/>
        </w:rPr>
        <w:t>Reports on Transmission losses and wheeling charges .</w:t>
      </w:r>
    </w:p>
    <w:p w:rsidR="004276A0" w:rsidRPr="00D84D4B" w:rsidRDefault="004276A0" w:rsidP="00D84D4B">
      <w:pPr>
        <w:pStyle w:val="Footer"/>
        <w:tabs>
          <w:tab w:val="clear" w:pos="4320"/>
          <w:tab w:val="clear" w:pos="8640"/>
        </w:tabs>
        <w:spacing w:line="360" w:lineRule="auto"/>
        <w:ind w:left="360"/>
        <w:jc w:val="both"/>
        <w:rPr>
          <w:rFonts w:ascii="Arial" w:hAnsi="Arial" w:cs="Arial"/>
          <w:sz w:val="22"/>
          <w:szCs w:val="22"/>
        </w:rPr>
      </w:pPr>
      <w:r w:rsidRPr="00D84D4B">
        <w:rPr>
          <w:rFonts w:ascii="Arial" w:hAnsi="Arial" w:cs="Arial"/>
          <w:sz w:val="22"/>
          <w:szCs w:val="22"/>
        </w:rPr>
        <w:t xml:space="preserve">The backup software with logic which is to manage load flows in SCADA Control center  is also not available, and has to be installed . </w:t>
      </w:r>
    </w:p>
    <w:p w:rsidR="00D84D4B" w:rsidRDefault="00D84D4B" w:rsidP="004276A0">
      <w:pPr>
        <w:pStyle w:val="ListParagraph"/>
        <w:tabs>
          <w:tab w:val="left" w:pos="0"/>
        </w:tabs>
        <w:spacing w:line="360" w:lineRule="auto"/>
        <w:ind w:left="0"/>
        <w:jc w:val="both"/>
        <w:rPr>
          <w:rFonts w:ascii="Arial" w:hAnsi="Arial" w:cs="Arial"/>
          <w:b/>
          <w:u w:val="single"/>
        </w:rPr>
      </w:pPr>
    </w:p>
    <w:p w:rsidR="004276A0" w:rsidRPr="00D84D4B" w:rsidRDefault="00867773" w:rsidP="004276A0">
      <w:pPr>
        <w:pStyle w:val="ListParagraph"/>
        <w:tabs>
          <w:tab w:val="left" w:pos="0"/>
        </w:tabs>
        <w:spacing w:line="360" w:lineRule="auto"/>
        <w:ind w:left="0"/>
        <w:jc w:val="both"/>
        <w:rPr>
          <w:rFonts w:ascii="Arial" w:hAnsi="Arial" w:cs="Arial"/>
          <w:b/>
          <w:u w:val="single"/>
        </w:rPr>
      </w:pPr>
      <w:r w:rsidRPr="00D84D4B">
        <w:rPr>
          <w:rFonts w:ascii="Arial" w:hAnsi="Arial" w:cs="Arial"/>
          <w:b/>
          <w:u w:val="single"/>
        </w:rPr>
        <w:t xml:space="preserve">Mobile </w:t>
      </w:r>
      <w:r w:rsidR="004276A0" w:rsidRPr="00D84D4B">
        <w:rPr>
          <w:rFonts w:ascii="Arial" w:hAnsi="Arial" w:cs="Arial"/>
          <w:b/>
          <w:u w:val="single"/>
        </w:rPr>
        <w:t xml:space="preserve">Software for Day ahead Load Forecasting </w:t>
      </w:r>
    </w:p>
    <w:p w:rsidR="004276A0" w:rsidRPr="00D84D4B" w:rsidRDefault="004276A0" w:rsidP="0008021D">
      <w:pPr>
        <w:pStyle w:val="Footer"/>
        <w:tabs>
          <w:tab w:val="clear" w:pos="4320"/>
          <w:tab w:val="clear" w:pos="8640"/>
        </w:tabs>
        <w:spacing w:line="360" w:lineRule="auto"/>
        <w:ind w:left="360"/>
        <w:jc w:val="both"/>
        <w:rPr>
          <w:rFonts w:ascii="Arial" w:hAnsi="Arial" w:cs="Arial"/>
          <w:sz w:val="22"/>
          <w:szCs w:val="22"/>
        </w:rPr>
      </w:pPr>
      <w:r w:rsidRPr="00D84D4B">
        <w:rPr>
          <w:rFonts w:ascii="Arial" w:hAnsi="Arial" w:cs="Arial"/>
          <w:sz w:val="22"/>
          <w:szCs w:val="22"/>
        </w:rPr>
        <w:t xml:space="preserve">For realistic day ahead scheduling a  forecasting software is also  essential in Intra- State ABT real-time operation.  Short term load </w:t>
      </w:r>
      <w:r w:rsidR="00DA7624" w:rsidRPr="00D84D4B">
        <w:rPr>
          <w:rFonts w:ascii="Arial" w:hAnsi="Arial" w:cs="Arial"/>
          <w:sz w:val="22"/>
          <w:szCs w:val="22"/>
        </w:rPr>
        <w:t>forecasting can done</w:t>
      </w:r>
      <w:r w:rsidRPr="00D84D4B">
        <w:rPr>
          <w:rFonts w:ascii="Arial" w:hAnsi="Arial" w:cs="Arial"/>
          <w:sz w:val="22"/>
          <w:szCs w:val="22"/>
        </w:rPr>
        <w:t xml:space="preserve"> on day ahead basis using service of forecasting </w:t>
      </w:r>
      <w:r w:rsidR="00DA7624" w:rsidRPr="00D84D4B">
        <w:rPr>
          <w:rFonts w:ascii="Arial" w:hAnsi="Arial" w:cs="Arial"/>
          <w:sz w:val="22"/>
          <w:szCs w:val="22"/>
        </w:rPr>
        <w:t>Software.</w:t>
      </w:r>
      <w:r w:rsidRPr="00D84D4B">
        <w:rPr>
          <w:rFonts w:ascii="Arial" w:hAnsi="Arial" w:cs="Arial"/>
          <w:sz w:val="22"/>
          <w:szCs w:val="22"/>
        </w:rPr>
        <w:t xml:space="preserve">  The input required for above forecasting are as under: </w:t>
      </w:r>
    </w:p>
    <w:p w:rsidR="004276A0" w:rsidRPr="00D84D4B" w:rsidRDefault="004276A0" w:rsidP="0008021D">
      <w:pPr>
        <w:numPr>
          <w:ilvl w:val="0"/>
          <w:numId w:val="18"/>
        </w:numPr>
        <w:spacing w:line="360" w:lineRule="auto"/>
        <w:jc w:val="both"/>
        <w:rPr>
          <w:rFonts w:ascii="Arial" w:hAnsi="Arial" w:cs="Arial"/>
          <w:sz w:val="22"/>
          <w:szCs w:val="22"/>
        </w:rPr>
      </w:pPr>
      <w:r w:rsidRPr="00D84D4B">
        <w:rPr>
          <w:rFonts w:ascii="Arial" w:hAnsi="Arial" w:cs="Arial"/>
          <w:sz w:val="22"/>
          <w:szCs w:val="22"/>
        </w:rPr>
        <w:t xml:space="preserve">AMR &amp; SLDC data </w:t>
      </w:r>
    </w:p>
    <w:p w:rsidR="004276A0" w:rsidRPr="00D84D4B" w:rsidRDefault="004276A0" w:rsidP="0008021D">
      <w:pPr>
        <w:numPr>
          <w:ilvl w:val="0"/>
          <w:numId w:val="18"/>
        </w:numPr>
        <w:spacing w:line="360" w:lineRule="auto"/>
        <w:jc w:val="both"/>
        <w:rPr>
          <w:rFonts w:ascii="Arial" w:hAnsi="Arial" w:cs="Arial"/>
          <w:sz w:val="22"/>
          <w:szCs w:val="22"/>
        </w:rPr>
      </w:pPr>
      <w:r w:rsidRPr="00D84D4B">
        <w:rPr>
          <w:rFonts w:ascii="Arial" w:hAnsi="Arial" w:cs="Arial"/>
          <w:sz w:val="22"/>
          <w:szCs w:val="22"/>
        </w:rPr>
        <w:t>Weather data</w:t>
      </w:r>
    </w:p>
    <w:p w:rsidR="004276A0" w:rsidRPr="00D84D4B" w:rsidRDefault="004276A0" w:rsidP="0008021D">
      <w:pPr>
        <w:numPr>
          <w:ilvl w:val="0"/>
          <w:numId w:val="18"/>
        </w:numPr>
        <w:spacing w:line="360" w:lineRule="auto"/>
        <w:jc w:val="both"/>
        <w:rPr>
          <w:rFonts w:ascii="Arial" w:hAnsi="Arial" w:cs="Arial"/>
          <w:sz w:val="22"/>
          <w:szCs w:val="22"/>
        </w:rPr>
      </w:pPr>
      <w:r w:rsidRPr="00D84D4B">
        <w:rPr>
          <w:rFonts w:ascii="Arial" w:hAnsi="Arial" w:cs="Arial"/>
          <w:sz w:val="22"/>
          <w:szCs w:val="22"/>
        </w:rPr>
        <w:t>Metered excel</w:t>
      </w:r>
    </w:p>
    <w:p w:rsidR="004276A0" w:rsidRPr="00D84D4B" w:rsidRDefault="004276A0" w:rsidP="0008021D">
      <w:pPr>
        <w:numPr>
          <w:ilvl w:val="0"/>
          <w:numId w:val="18"/>
        </w:numPr>
        <w:spacing w:line="360" w:lineRule="auto"/>
        <w:jc w:val="both"/>
        <w:rPr>
          <w:rFonts w:ascii="Arial" w:hAnsi="Arial" w:cs="Arial"/>
          <w:sz w:val="22"/>
          <w:szCs w:val="22"/>
        </w:rPr>
      </w:pPr>
      <w:r w:rsidRPr="00D84D4B">
        <w:rPr>
          <w:rFonts w:ascii="Arial" w:hAnsi="Arial" w:cs="Arial"/>
          <w:sz w:val="22"/>
          <w:szCs w:val="22"/>
        </w:rPr>
        <w:t xml:space="preserve">Outage Excel </w:t>
      </w:r>
    </w:p>
    <w:p w:rsidR="004276A0" w:rsidRDefault="004276A0" w:rsidP="0008021D">
      <w:pPr>
        <w:numPr>
          <w:ilvl w:val="0"/>
          <w:numId w:val="18"/>
        </w:numPr>
        <w:spacing w:line="360" w:lineRule="auto"/>
        <w:jc w:val="both"/>
        <w:rPr>
          <w:rFonts w:ascii="Arial" w:hAnsi="Arial" w:cs="Arial"/>
          <w:sz w:val="22"/>
          <w:szCs w:val="22"/>
        </w:rPr>
      </w:pPr>
      <w:r w:rsidRPr="00D84D4B">
        <w:rPr>
          <w:rFonts w:ascii="Arial" w:hAnsi="Arial" w:cs="Arial"/>
          <w:sz w:val="22"/>
          <w:szCs w:val="22"/>
        </w:rPr>
        <w:t>Event calendar Excel.</w:t>
      </w:r>
    </w:p>
    <w:p w:rsidR="00DA7624" w:rsidRDefault="00DA7624" w:rsidP="0008021D">
      <w:pPr>
        <w:spacing w:line="360" w:lineRule="auto"/>
        <w:ind w:left="360"/>
        <w:jc w:val="both"/>
        <w:rPr>
          <w:rFonts w:ascii="Arial" w:hAnsi="Arial" w:cs="Arial"/>
          <w:sz w:val="22"/>
          <w:szCs w:val="22"/>
        </w:rPr>
      </w:pPr>
    </w:p>
    <w:p w:rsidR="00DA7624" w:rsidRDefault="00DA7624" w:rsidP="0008021D">
      <w:pPr>
        <w:spacing w:line="360" w:lineRule="auto"/>
        <w:ind w:left="360"/>
        <w:jc w:val="both"/>
        <w:rPr>
          <w:rFonts w:ascii="Arial" w:hAnsi="Arial" w:cs="Arial"/>
          <w:sz w:val="22"/>
          <w:szCs w:val="22"/>
        </w:rPr>
      </w:pPr>
      <w:r w:rsidRPr="00D84D4B">
        <w:rPr>
          <w:rFonts w:ascii="Arial" w:hAnsi="Arial" w:cs="Arial"/>
          <w:sz w:val="22"/>
          <w:szCs w:val="22"/>
        </w:rPr>
        <w:t>Then a comparison analysis</w:t>
      </w:r>
      <w:r w:rsidR="0008021D">
        <w:rPr>
          <w:rFonts w:ascii="Arial" w:hAnsi="Arial" w:cs="Arial"/>
          <w:sz w:val="22"/>
          <w:szCs w:val="22"/>
        </w:rPr>
        <w:t>,</w:t>
      </w:r>
      <w:r w:rsidRPr="00D84D4B">
        <w:rPr>
          <w:rFonts w:ascii="Arial" w:hAnsi="Arial" w:cs="Arial"/>
          <w:sz w:val="22"/>
          <w:szCs w:val="22"/>
        </w:rPr>
        <w:t xml:space="preserve"> error  report and graph  will be prepared on daily basis for 96 slots in a day comparing actual  and forecast data  which is very much  essent</w:t>
      </w:r>
      <w:r w:rsidR="0008021D">
        <w:rPr>
          <w:rFonts w:ascii="Arial" w:hAnsi="Arial" w:cs="Arial"/>
          <w:sz w:val="22"/>
          <w:szCs w:val="22"/>
        </w:rPr>
        <w:t>ial for day ahead scheduling  (</w:t>
      </w:r>
      <w:r w:rsidR="001D4339">
        <w:rPr>
          <w:rFonts w:ascii="Arial" w:hAnsi="Arial" w:cs="Arial"/>
          <w:sz w:val="22"/>
          <w:szCs w:val="22"/>
        </w:rPr>
        <w:t xml:space="preserve">15 min slot wise)  </w:t>
      </w:r>
      <w:r w:rsidRPr="00D84D4B">
        <w:rPr>
          <w:rFonts w:ascii="Arial" w:hAnsi="Arial" w:cs="Arial"/>
          <w:sz w:val="22"/>
          <w:szCs w:val="22"/>
        </w:rPr>
        <w:t>by DISCOMs</w:t>
      </w:r>
    </w:p>
    <w:p w:rsidR="00DA7624" w:rsidRDefault="00DA7624" w:rsidP="00DA7624">
      <w:pPr>
        <w:spacing w:line="360" w:lineRule="auto"/>
        <w:ind w:left="720"/>
        <w:rPr>
          <w:rFonts w:ascii="Arial" w:hAnsi="Arial" w:cs="Arial"/>
          <w:sz w:val="22"/>
          <w:szCs w:val="22"/>
        </w:rPr>
      </w:pPr>
    </w:p>
    <w:p w:rsidR="00DA7624" w:rsidRDefault="00DA7624" w:rsidP="00DA7624">
      <w:pPr>
        <w:spacing w:line="360" w:lineRule="auto"/>
        <w:ind w:left="720"/>
        <w:rPr>
          <w:rFonts w:ascii="Arial" w:hAnsi="Arial" w:cs="Arial"/>
          <w:sz w:val="22"/>
          <w:szCs w:val="22"/>
        </w:rPr>
      </w:pPr>
    </w:p>
    <w:p w:rsidR="004276A0" w:rsidRPr="00D84D4B" w:rsidRDefault="004276A0" w:rsidP="00DA7624">
      <w:pPr>
        <w:spacing w:line="360" w:lineRule="auto"/>
        <w:ind w:left="720"/>
        <w:rPr>
          <w:rFonts w:ascii="Arial" w:hAnsi="Arial" w:cs="Arial"/>
          <w:sz w:val="22"/>
          <w:szCs w:val="22"/>
        </w:rPr>
      </w:pPr>
      <w:r w:rsidRPr="00D84D4B">
        <w:rPr>
          <w:rFonts w:ascii="Arial" w:hAnsi="Arial" w:cs="Arial"/>
          <w:sz w:val="22"/>
          <w:szCs w:val="22"/>
        </w:rPr>
        <w:t>Expenditure Requirement for Intra-state ABT implementation by DISCOMs </w:t>
      </w:r>
    </w:p>
    <w:tbl>
      <w:tblPr>
        <w:tblW w:w="9542" w:type="dxa"/>
        <w:tblInd w:w="93" w:type="dxa"/>
        <w:tblLook w:val="04A0"/>
      </w:tblPr>
      <w:tblGrid>
        <w:gridCol w:w="450"/>
        <w:gridCol w:w="2400"/>
        <w:gridCol w:w="551"/>
        <w:gridCol w:w="992"/>
        <w:gridCol w:w="787"/>
        <w:gridCol w:w="878"/>
        <w:gridCol w:w="551"/>
        <w:gridCol w:w="1032"/>
        <w:gridCol w:w="998"/>
        <w:gridCol w:w="903"/>
      </w:tblGrid>
      <w:tr w:rsidR="004276A0" w:rsidRPr="00BF0E9D" w:rsidTr="00867773">
        <w:trPr>
          <w:trHeight w:val="361"/>
          <w:tblHeader/>
        </w:trPr>
        <w:tc>
          <w:tcPr>
            <w:tcW w:w="7641"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lastRenderedPageBreak/>
              <w:t>  </w:t>
            </w:r>
          </w:p>
        </w:tc>
        <w:tc>
          <w:tcPr>
            <w:tcW w:w="1901" w:type="dxa"/>
            <w:gridSpan w:val="2"/>
            <w:tcBorders>
              <w:top w:val="single" w:sz="4" w:space="0" w:color="auto"/>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Rs in Crores </w:t>
            </w:r>
          </w:p>
        </w:tc>
      </w:tr>
      <w:tr w:rsidR="004276A0" w:rsidRPr="00BF0E9D" w:rsidTr="00867773">
        <w:trPr>
          <w:trHeight w:val="20"/>
          <w:tblHeader/>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2400"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1543" w:type="dxa"/>
            <w:gridSpan w:val="2"/>
            <w:tcBorders>
              <w:top w:val="single" w:sz="4" w:space="0" w:color="auto"/>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xml:space="preserve">WESCO </w:t>
            </w:r>
          </w:p>
        </w:tc>
        <w:tc>
          <w:tcPr>
            <w:tcW w:w="1665" w:type="dxa"/>
            <w:gridSpan w:val="2"/>
            <w:tcBorders>
              <w:top w:val="single" w:sz="4" w:space="0" w:color="auto"/>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NESCO</w:t>
            </w:r>
          </w:p>
        </w:tc>
        <w:tc>
          <w:tcPr>
            <w:tcW w:w="1583" w:type="dxa"/>
            <w:gridSpan w:val="2"/>
            <w:tcBorders>
              <w:top w:val="single" w:sz="4" w:space="0" w:color="auto"/>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xml:space="preserve">SOUTHCO </w:t>
            </w:r>
          </w:p>
        </w:tc>
        <w:tc>
          <w:tcPr>
            <w:tcW w:w="1901" w:type="dxa"/>
            <w:gridSpan w:val="2"/>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DISCOM TOTAL</w:t>
            </w:r>
          </w:p>
        </w:tc>
      </w:tr>
      <w:tr w:rsidR="004276A0" w:rsidRPr="00BF0E9D" w:rsidTr="00867773">
        <w:trPr>
          <w:trHeight w:val="20"/>
          <w:tblHeader/>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2400"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No</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Cost</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No</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Cost</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No</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Cost</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No</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Cost</w:t>
            </w:r>
          </w:p>
        </w:tc>
      </w:tr>
      <w:tr w:rsidR="004276A0" w:rsidRPr="00BF0E9D" w:rsidTr="00867773">
        <w:trPr>
          <w:trHeight w:val="2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1</w:t>
            </w:r>
          </w:p>
        </w:tc>
        <w:tc>
          <w:tcPr>
            <w:tcW w:w="2400"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REQUIREMENT OF  VCB</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r>
      <w:tr w:rsidR="004276A0" w:rsidRPr="00BF0E9D" w:rsidTr="00867773">
        <w:trPr>
          <w:trHeight w:val="2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a)</w:t>
            </w:r>
          </w:p>
        </w:tc>
        <w:tc>
          <w:tcPr>
            <w:tcW w:w="2400"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33  KV VCB</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91</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3.185</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69</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2.415</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82</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2.87</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242</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8.47</w:t>
            </w:r>
          </w:p>
        </w:tc>
      </w:tr>
      <w:tr w:rsidR="004276A0" w:rsidRPr="00BF0E9D" w:rsidTr="00867773">
        <w:trPr>
          <w:trHeight w:val="2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b)</w:t>
            </w:r>
          </w:p>
        </w:tc>
        <w:tc>
          <w:tcPr>
            <w:tcW w:w="2400"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xml:space="preserve">11 KV VCB </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496</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10.912</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430</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9.46</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450</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9.9</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1376</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30.27</w:t>
            </w:r>
          </w:p>
        </w:tc>
      </w:tr>
      <w:tr w:rsidR="004276A0" w:rsidRPr="00BF0E9D" w:rsidTr="00867773">
        <w:trPr>
          <w:trHeight w:val="2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c)</w:t>
            </w:r>
          </w:p>
        </w:tc>
        <w:tc>
          <w:tcPr>
            <w:tcW w:w="2400"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xml:space="preserve">Installation cost </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1.36</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1.15</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1.24</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3.75</w:t>
            </w:r>
          </w:p>
        </w:tc>
      </w:tr>
      <w:tr w:rsidR="004276A0" w:rsidRPr="00BF0E9D" w:rsidTr="00867773">
        <w:trPr>
          <w:trHeight w:val="2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2400"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Sub total</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587</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15.4612</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499</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13.03</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532</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14.01</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1618</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42.50</w:t>
            </w:r>
          </w:p>
        </w:tc>
      </w:tr>
      <w:tr w:rsidR="004276A0" w:rsidRPr="00BF0E9D" w:rsidTr="00867773">
        <w:trPr>
          <w:trHeight w:val="2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2</w:t>
            </w:r>
          </w:p>
        </w:tc>
        <w:tc>
          <w:tcPr>
            <w:tcW w:w="2400"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 xml:space="preserve">METERING </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r>
      <w:tr w:rsidR="004276A0" w:rsidRPr="00BF0E9D" w:rsidTr="00867773">
        <w:trPr>
          <w:trHeight w:val="2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a)</w:t>
            </w:r>
          </w:p>
        </w:tc>
        <w:tc>
          <w:tcPr>
            <w:tcW w:w="2400"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ABT Complaint Meter</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r>
      <w:tr w:rsidR="004276A0" w:rsidRPr="00BF0E9D" w:rsidTr="00867773">
        <w:trPr>
          <w:trHeight w:val="2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2400" w:type="dxa"/>
            <w:tcBorders>
              <w:top w:val="nil"/>
              <w:left w:val="nil"/>
              <w:bottom w:val="single" w:sz="4" w:space="0" w:color="auto"/>
              <w:right w:val="single" w:sz="4" w:space="0" w:color="auto"/>
            </w:tcBorders>
            <w:shd w:val="clear" w:color="auto" w:fill="auto"/>
            <w:hideMark/>
          </w:tcPr>
          <w:p w:rsidR="004276A0" w:rsidRPr="00BF0E9D" w:rsidRDefault="004276A0" w:rsidP="000334F1">
            <w:pPr>
              <w:pStyle w:val="NoSpacing"/>
            </w:pPr>
            <w:r w:rsidRPr="00BF0E9D">
              <w:t>33 KV Meter with Metering unit</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91</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1.37</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bookmarkStart w:id="13" w:name="_GoBack"/>
            <w:bookmarkEnd w:id="13"/>
            <w:r w:rsidRPr="00BF0E9D">
              <w:t>69</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1.035</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82</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1.23</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242</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3.63</w:t>
            </w:r>
          </w:p>
        </w:tc>
      </w:tr>
      <w:tr w:rsidR="004276A0" w:rsidRPr="00BF0E9D" w:rsidTr="00867773">
        <w:trPr>
          <w:trHeight w:val="2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b)</w:t>
            </w:r>
          </w:p>
        </w:tc>
        <w:tc>
          <w:tcPr>
            <w:tcW w:w="2400" w:type="dxa"/>
            <w:tcBorders>
              <w:top w:val="nil"/>
              <w:left w:val="nil"/>
              <w:bottom w:val="single" w:sz="4" w:space="0" w:color="auto"/>
              <w:right w:val="single" w:sz="4" w:space="0" w:color="auto"/>
            </w:tcBorders>
            <w:shd w:val="clear" w:color="auto" w:fill="auto"/>
            <w:hideMark/>
          </w:tcPr>
          <w:p w:rsidR="004276A0" w:rsidRPr="00BF0E9D" w:rsidRDefault="004276A0" w:rsidP="000334F1">
            <w:pPr>
              <w:pStyle w:val="NoSpacing"/>
            </w:pPr>
            <w:r w:rsidRPr="00BF0E9D">
              <w:t>11 KV Meter with Metering unit</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496</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2.98</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430</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2.58</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450</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2.70</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1376</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8.26</w:t>
            </w:r>
          </w:p>
        </w:tc>
      </w:tr>
      <w:tr w:rsidR="004276A0" w:rsidRPr="00BF0E9D" w:rsidTr="00867773">
        <w:trPr>
          <w:trHeight w:val="2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2400"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Sub total</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587</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4.34</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499</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3.62</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532</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3.93</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1618</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11.89</w:t>
            </w:r>
          </w:p>
        </w:tc>
      </w:tr>
      <w:tr w:rsidR="004276A0" w:rsidRPr="00BF0E9D" w:rsidTr="00867773">
        <w:trPr>
          <w:trHeight w:val="2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2400"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r>
      <w:tr w:rsidR="004276A0" w:rsidRPr="00BF0E9D" w:rsidTr="00867773">
        <w:trPr>
          <w:trHeight w:val="2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3</w:t>
            </w:r>
          </w:p>
        </w:tc>
        <w:tc>
          <w:tcPr>
            <w:tcW w:w="2400"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SCADA / DMS</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r>
      <w:tr w:rsidR="004276A0" w:rsidRPr="00BF0E9D" w:rsidTr="00867773">
        <w:trPr>
          <w:trHeight w:val="2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a)</w:t>
            </w:r>
          </w:p>
        </w:tc>
        <w:tc>
          <w:tcPr>
            <w:tcW w:w="2400"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xml:space="preserve">Equipments </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r>
      <w:tr w:rsidR="004276A0" w:rsidRPr="00BF0E9D" w:rsidTr="00867773">
        <w:trPr>
          <w:trHeight w:val="2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b)</w:t>
            </w:r>
          </w:p>
        </w:tc>
        <w:tc>
          <w:tcPr>
            <w:tcW w:w="2400"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Networking</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r>
      <w:tr w:rsidR="004276A0" w:rsidRPr="00BF0E9D" w:rsidTr="00867773">
        <w:trPr>
          <w:trHeight w:val="2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c)</w:t>
            </w:r>
          </w:p>
        </w:tc>
        <w:tc>
          <w:tcPr>
            <w:tcW w:w="2400"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xml:space="preserve">Installation </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r>
      <w:tr w:rsidR="004276A0" w:rsidRPr="00BF0E9D" w:rsidTr="00867773">
        <w:trPr>
          <w:trHeight w:val="2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2400"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5 lakhs/ 33/11 KV s/s</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91</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4.55</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69</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3.45</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82</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4.1</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242</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12.10</w:t>
            </w:r>
          </w:p>
        </w:tc>
      </w:tr>
      <w:tr w:rsidR="004276A0" w:rsidRPr="00BF0E9D" w:rsidTr="00867773">
        <w:trPr>
          <w:trHeight w:val="2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4</w:t>
            </w:r>
          </w:p>
        </w:tc>
        <w:tc>
          <w:tcPr>
            <w:tcW w:w="2400"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DISTRIBUTION OPERATION CONTROL CENTER</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 </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r>
      <w:tr w:rsidR="004276A0" w:rsidRPr="00BF0E9D" w:rsidTr="00867773">
        <w:trPr>
          <w:trHeight w:val="2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a)</w:t>
            </w:r>
          </w:p>
        </w:tc>
        <w:tc>
          <w:tcPr>
            <w:tcW w:w="2400"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Infra structure( ABT room renovation)</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0.03</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0.03</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0.03</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0.09</w:t>
            </w:r>
          </w:p>
        </w:tc>
      </w:tr>
      <w:tr w:rsidR="004276A0" w:rsidRPr="00BF0E9D" w:rsidTr="00867773">
        <w:trPr>
          <w:trHeight w:val="2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b)</w:t>
            </w:r>
          </w:p>
        </w:tc>
        <w:tc>
          <w:tcPr>
            <w:tcW w:w="2400"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Hardware( Server /PC  )</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1</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0.05</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1</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0.05</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1</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0.05</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1</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0.15</w:t>
            </w:r>
          </w:p>
        </w:tc>
      </w:tr>
      <w:tr w:rsidR="004276A0" w:rsidRPr="00BF0E9D" w:rsidTr="00867773">
        <w:trPr>
          <w:trHeight w:val="2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c)</w:t>
            </w:r>
          </w:p>
        </w:tc>
        <w:tc>
          <w:tcPr>
            <w:tcW w:w="2400"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Software</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1.00</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1.00</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1.00</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3.00</w:t>
            </w:r>
          </w:p>
        </w:tc>
      </w:tr>
      <w:tr w:rsidR="004276A0" w:rsidRPr="00BF0E9D" w:rsidTr="00867773">
        <w:trPr>
          <w:trHeight w:val="2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e)</w:t>
            </w:r>
          </w:p>
        </w:tc>
        <w:tc>
          <w:tcPr>
            <w:tcW w:w="2400"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Printer</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2</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0.006</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2</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0.006</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2</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0.006</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6</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0.018</w:t>
            </w:r>
          </w:p>
        </w:tc>
      </w:tr>
      <w:tr w:rsidR="004276A0" w:rsidRPr="00BF0E9D" w:rsidTr="00867773">
        <w:trPr>
          <w:trHeight w:val="2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f)</w:t>
            </w:r>
          </w:p>
        </w:tc>
        <w:tc>
          <w:tcPr>
            <w:tcW w:w="2400"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Digital display board</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1</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0.015</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1</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0.015</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1</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0.015</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3</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0.045</w:t>
            </w:r>
          </w:p>
        </w:tc>
      </w:tr>
      <w:tr w:rsidR="004276A0" w:rsidRPr="00BF0E9D" w:rsidTr="00867773">
        <w:trPr>
          <w:trHeight w:val="2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g)</w:t>
            </w:r>
          </w:p>
        </w:tc>
        <w:tc>
          <w:tcPr>
            <w:tcW w:w="2400"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xml:space="preserve">Furniture </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0.01</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0.01</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0.01</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0.030</w:t>
            </w:r>
          </w:p>
        </w:tc>
      </w:tr>
      <w:tr w:rsidR="004276A0" w:rsidRPr="00BF0E9D" w:rsidTr="00867773">
        <w:trPr>
          <w:trHeight w:val="20"/>
        </w:trPr>
        <w:tc>
          <w:tcPr>
            <w:tcW w:w="450" w:type="dxa"/>
            <w:tcBorders>
              <w:top w:val="nil"/>
              <w:left w:val="single" w:sz="4" w:space="0" w:color="auto"/>
              <w:bottom w:val="nil"/>
              <w:right w:val="single" w:sz="4" w:space="0" w:color="auto"/>
            </w:tcBorders>
            <w:shd w:val="clear" w:color="auto" w:fill="auto"/>
            <w:noWrap/>
            <w:vAlign w:val="bottom"/>
            <w:hideMark/>
          </w:tcPr>
          <w:p w:rsidR="004276A0" w:rsidRPr="00BF0E9D" w:rsidRDefault="004276A0" w:rsidP="000334F1">
            <w:pPr>
              <w:pStyle w:val="NoSpacing"/>
            </w:pPr>
            <w:r w:rsidRPr="00BF0E9D">
              <w:t>h)</w:t>
            </w:r>
          </w:p>
        </w:tc>
        <w:tc>
          <w:tcPr>
            <w:tcW w:w="2400"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A.C. Machine</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2</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0.01</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2</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0.01</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2</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0.01</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6</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0.030</w:t>
            </w:r>
          </w:p>
        </w:tc>
      </w:tr>
      <w:tr w:rsidR="004276A0" w:rsidRPr="00BF0E9D" w:rsidTr="00867773">
        <w:trPr>
          <w:trHeight w:val="2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2400"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Sub-total</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 </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1.121</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 </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1.121</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 </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1.121</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 </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3.36</w:t>
            </w:r>
          </w:p>
        </w:tc>
      </w:tr>
      <w:tr w:rsidR="004276A0" w:rsidRPr="00BF0E9D" w:rsidTr="00867773">
        <w:trPr>
          <w:trHeight w:val="2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2400"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Control Room at CSO</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 </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 </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 </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 </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 </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 </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 </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1.12</w:t>
            </w:r>
          </w:p>
        </w:tc>
      </w:tr>
      <w:tr w:rsidR="004276A0" w:rsidRPr="00BF0E9D" w:rsidTr="00867773">
        <w:trPr>
          <w:trHeight w:val="2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2400"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 </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 </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 </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 </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 </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 </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 </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 </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 </w:t>
            </w:r>
          </w:p>
        </w:tc>
      </w:tr>
      <w:tr w:rsidR="004276A0" w:rsidRPr="00BF0E9D" w:rsidTr="00867773">
        <w:trPr>
          <w:trHeight w:val="2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5</w:t>
            </w:r>
          </w:p>
        </w:tc>
        <w:tc>
          <w:tcPr>
            <w:tcW w:w="2400"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 xml:space="preserve">Operation &amp; Maintenance </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r>
      <w:tr w:rsidR="004276A0" w:rsidRPr="00BF0E9D" w:rsidTr="00867773">
        <w:trPr>
          <w:trHeight w:val="2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2400" w:type="dxa"/>
            <w:tcBorders>
              <w:top w:val="nil"/>
              <w:left w:val="nil"/>
              <w:bottom w:val="single" w:sz="4" w:space="0" w:color="auto"/>
              <w:right w:val="single" w:sz="4" w:space="0" w:color="auto"/>
            </w:tcBorders>
            <w:shd w:val="clear" w:color="auto" w:fill="auto"/>
            <w:vAlign w:val="bottom"/>
            <w:hideMark/>
          </w:tcPr>
          <w:p w:rsidR="004276A0" w:rsidRPr="00BF0E9D" w:rsidRDefault="004276A0" w:rsidP="000334F1">
            <w:pPr>
              <w:pStyle w:val="NoSpacing"/>
            </w:pPr>
            <w:r w:rsidRPr="00BF0E9D">
              <w:t>Man power ( AGM / M/ DM) Salary  (PA)</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8</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0.48</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8</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0.48</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8</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0.48</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24</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1.44</w:t>
            </w:r>
          </w:p>
        </w:tc>
      </w:tr>
      <w:tr w:rsidR="004276A0" w:rsidRPr="00BF0E9D" w:rsidTr="00867773">
        <w:trPr>
          <w:trHeight w:val="2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2400"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Security(PA)</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4</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0.024</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4</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0.024</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4</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0.024</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12</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0.072</w:t>
            </w:r>
          </w:p>
        </w:tc>
      </w:tr>
      <w:tr w:rsidR="004276A0" w:rsidRPr="00BF0E9D" w:rsidTr="00867773">
        <w:trPr>
          <w:trHeight w:val="2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2400"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Office Stationary(PA)</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0.012</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0.012</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0.012</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0.036</w:t>
            </w:r>
          </w:p>
        </w:tc>
      </w:tr>
      <w:tr w:rsidR="004276A0" w:rsidRPr="00BF0E9D" w:rsidTr="00867773">
        <w:trPr>
          <w:trHeight w:val="2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2400" w:type="dxa"/>
            <w:tcBorders>
              <w:top w:val="nil"/>
              <w:left w:val="nil"/>
              <w:bottom w:val="single" w:sz="4" w:space="0" w:color="auto"/>
              <w:right w:val="single" w:sz="4" w:space="0" w:color="auto"/>
            </w:tcBorders>
            <w:shd w:val="clear" w:color="auto" w:fill="auto"/>
            <w:vAlign w:val="bottom"/>
            <w:hideMark/>
          </w:tcPr>
          <w:p w:rsidR="004276A0" w:rsidRPr="00BF0E9D" w:rsidRDefault="004276A0" w:rsidP="000334F1">
            <w:pPr>
              <w:pStyle w:val="NoSpacing"/>
            </w:pPr>
            <w:r w:rsidRPr="00BF0E9D">
              <w:t xml:space="preserve">Agency Charges for Forcasting, ABT and SCADA Operation </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0.06</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0.06</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0.06</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0.18</w:t>
            </w:r>
          </w:p>
        </w:tc>
      </w:tr>
      <w:tr w:rsidR="004276A0" w:rsidRPr="00BF0E9D" w:rsidTr="00867773">
        <w:trPr>
          <w:trHeight w:val="2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4276A0" w:rsidRPr="00BF0E9D" w:rsidRDefault="004276A0" w:rsidP="000334F1">
            <w:pPr>
              <w:pStyle w:val="NoSpacing"/>
            </w:pPr>
            <w:r w:rsidRPr="00BF0E9D">
              <w:t> </w:t>
            </w:r>
          </w:p>
        </w:tc>
        <w:tc>
          <w:tcPr>
            <w:tcW w:w="2400"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Sub-total</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 </w:t>
            </w:r>
          </w:p>
        </w:tc>
        <w:tc>
          <w:tcPr>
            <w:tcW w:w="99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0.576</w:t>
            </w:r>
          </w:p>
        </w:tc>
        <w:tc>
          <w:tcPr>
            <w:tcW w:w="787"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 </w:t>
            </w:r>
          </w:p>
        </w:tc>
        <w:tc>
          <w:tcPr>
            <w:tcW w:w="87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0.576</w:t>
            </w:r>
          </w:p>
        </w:tc>
        <w:tc>
          <w:tcPr>
            <w:tcW w:w="551"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 </w:t>
            </w:r>
          </w:p>
        </w:tc>
        <w:tc>
          <w:tcPr>
            <w:tcW w:w="1032"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0.576</w:t>
            </w:r>
          </w:p>
        </w:tc>
        <w:tc>
          <w:tcPr>
            <w:tcW w:w="998"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 </w:t>
            </w:r>
          </w:p>
        </w:tc>
        <w:tc>
          <w:tcPr>
            <w:tcW w:w="903" w:type="dxa"/>
            <w:tcBorders>
              <w:top w:val="nil"/>
              <w:left w:val="nil"/>
              <w:bottom w:val="single" w:sz="4" w:space="0" w:color="auto"/>
              <w:right w:val="single" w:sz="4" w:space="0" w:color="auto"/>
            </w:tcBorders>
            <w:shd w:val="clear" w:color="auto" w:fill="auto"/>
            <w:noWrap/>
            <w:vAlign w:val="bottom"/>
            <w:hideMark/>
          </w:tcPr>
          <w:p w:rsidR="004276A0" w:rsidRPr="00BF0E9D" w:rsidRDefault="004276A0" w:rsidP="000334F1">
            <w:pPr>
              <w:pStyle w:val="NoSpacing"/>
              <w:rPr>
                <w:bCs/>
              </w:rPr>
            </w:pPr>
            <w:r w:rsidRPr="00BF0E9D">
              <w:rPr>
                <w:bCs/>
              </w:rPr>
              <w:t>1.73</w:t>
            </w:r>
          </w:p>
        </w:tc>
      </w:tr>
      <w:tr w:rsidR="004276A0" w:rsidRPr="00BF0E9D" w:rsidTr="00867773">
        <w:trPr>
          <w:trHeight w:val="20"/>
        </w:trPr>
        <w:tc>
          <w:tcPr>
            <w:tcW w:w="450" w:type="dxa"/>
            <w:tcBorders>
              <w:top w:val="nil"/>
              <w:left w:val="nil"/>
              <w:bottom w:val="nil"/>
              <w:right w:val="nil"/>
            </w:tcBorders>
            <w:shd w:val="clear" w:color="auto" w:fill="auto"/>
            <w:noWrap/>
            <w:vAlign w:val="bottom"/>
            <w:hideMark/>
          </w:tcPr>
          <w:p w:rsidR="004276A0" w:rsidRPr="00BF0E9D" w:rsidRDefault="004276A0" w:rsidP="000334F1">
            <w:pPr>
              <w:pStyle w:val="NoSpacing"/>
            </w:pPr>
          </w:p>
        </w:tc>
        <w:tc>
          <w:tcPr>
            <w:tcW w:w="2400" w:type="dxa"/>
            <w:tcBorders>
              <w:top w:val="nil"/>
              <w:left w:val="nil"/>
              <w:bottom w:val="nil"/>
              <w:right w:val="nil"/>
            </w:tcBorders>
            <w:shd w:val="clear" w:color="auto" w:fill="auto"/>
            <w:noWrap/>
            <w:vAlign w:val="bottom"/>
            <w:hideMark/>
          </w:tcPr>
          <w:p w:rsidR="004276A0" w:rsidRPr="00BF0E9D" w:rsidRDefault="004276A0" w:rsidP="000334F1">
            <w:pPr>
              <w:pStyle w:val="NoSpacing"/>
            </w:pPr>
          </w:p>
        </w:tc>
        <w:tc>
          <w:tcPr>
            <w:tcW w:w="551" w:type="dxa"/>
            <w:tcBorders>
              <w:top w:val="nil"/>
              <w:left w:val="nil"/>
              <w:bottom w:val="nil"/>
              <w:right w:val="nil"/>
            </w:tcBorders>
            <w:shd w:val="clear" w:color="auto" w:fill="auto"/>
            <w:noWrap/>
            <w:vAlign w:val="bottom"/>
            <w:hideMark/>
          </w:tcPr>
          <w:p w:rsidR="004276A0" w:rsidRPr="00BF0E9D" w:rsidRDefault="004276A0" w:rsidP="000334F1">
            <w:pPr>
              <w:pStyle w:val="NoSpacing"/>
            </w:pPr>
          </w:p>
        </w:tc>
        <w:tc>
          <w:tcPr>
            <w:tcW w:w="992" w:type="dxa"/>
            <w:tcBorders>
              <w:top w:val="nil"/>
              <w:left w:val="nil"/>
              <w:bottom w:val="nil"/>
              <w:right w:val="nil"/>
            </w:tcBorders>
            <w:shd w:val="clear" w:color="auto" w:fill="auto"/>
            <w:noWrap/>
            <w:vAlign w:val="bottom"/>
            <w:hideMark/>
          </w:tcPr>
          <w:p w:rsidR="004276A0" w:rsidRPr="00BF0E9D" w:rsidRDefault="004276A0" w:rsidP="000334F1">
            <w:pPr>
              <w:pStyle w:val="NoSpacing"/>
            </w:pPr>
          </w:p>
        </w:tc>
        <w:tc>
          <w:tcPr>
            <w:tcW w:w="787" w:type="dxa"/>
            <w:tcBorders>
              <w:top w:val="nil"/>
              <w:left w:val="nil"/>
              <w:bottom w:val="nil"/>
              <w:right w:val="nil"/>
            </w:tcBorders>
            <w:shd w:val="clear" w:color="auto" w:fill="auto"/>
            <w:noWrap/>
            <w:vAlign w:val="bottom"/>
            <w:hideMark/>
          </w:tcPr>
          <w:p w:rsidR="004276A0" w:rsidRPr="00BF0E9D" w:rsidRDefault="004276A0" w:rsidP="000334F1">
            <w:pPr>
              <w:pStyle w:val="NoSpacing"/>
            </w:pPr>
          </w:p>
        </w:tc>
        <w:tc>
          <w:tcPr>
            <w:tcW w:w="878" w:type="dxa"/>
            <w:tcBorders>
              <w:top w:val="nil"/>
              <w:left w:val="nil"/>
              <w:bottom w:val="nil"/>
              <w:right w:val="nil"/>
            </w:tcBorders>
            <w:shd w:val="clear" w:color="auto" w:fill="auto"/>
            <w:noWrap/>
            <w:vAlign w:val="bottom"/>
            <w:hideMark/>
          </w:tcPr>
          <w:p w:rsidR="004276A0" w:rsidRPr="00BF0E9D" w:rsidRDefault="004276A0" w:rsidP="000334F1">
            <w:pPr>
              <w:pStyle w:val="NoSpacing"/>
            </w:pPr>
          </w:p>
        </w:tc>
        <w:tc>
          <w:tcPr>
            <w:tcW w:w="551" w:type="dxa"/>
            <w:tcBorders>
              <w:top w:val="nil"/>
              <w:left w:val="nil"/>
              <w:bottom w:val="nil"/>
              <w:right w:val="nil"/>
            </w:tcBorders>
            <w:shd w:val="clear" w:color="auto" w:fill="auto"/>
            <w:noWrap/>
            <w:vAlign w:val="bottom"/>
            <w:hideMark/>
          </w:tcPr>
          <w:p w:rsidR="004276A0" w:rsidRPr="00BF0E9D" w:rsidRDefault="004276A0" w:rsidP="000334F1">
            <w:pPr>
              <w:pStyle w:val="NoSpacing"/>
            </w:pPr>
          </w:p>
        </w:tc>
        <w:tc>
          <w:tcPr>
            <w:tcW w:w="1032" w:type="dxa"/>
            <w:tcBorders>
              <w:top w:val="nil"/>
              <w:left w:val="nil"/>
              <w:bottom w:val="nil"/>
              <w:right w:val="nil"/>
            </w:tcBorders>
            <w:shd w:val="clear" w:color="auto" w:fill="auto"/>
            <w:noWrap/>
            <w:vAlign w:val="bottom"/>
            <w:hideMark/>
          </w:tcPr>
          <w:p w:rsidR="004276A0" w:rsidRPr="00BF0E9D" w:rsidRDefault="004276A0" w:rsidP="000334F1">
            <w:pPr>
              <w:pStyle w:val="NoSpacing"/>
            </w:pPr>
          </w:p>
        </w:tc>
        <w:tc>
          <w:tcPr>
            <w:tcW w:w="998" w:type="dxa"/>
            <w:tcBorders>
              <w:top w:val="nil"/>
              <w:left w:val="nil"/>
              <w:bottom w:val="nil"/>
              <w:right w:val="nil"/>
            </w:tcBorders>
            <w:shd w:val="clear" w:color="auto" w:fill="auto"/>
            <w:noWrap/>
            <w:vAlign w:val="bottom"/>
            <w:hideMark/>
          </w:tcPr>
          <w:p w:rsidR="004276A0" w:rsidRPr="00BF0E9D" w:rsidRDefault="004276A0" w:rsidP="000334F1">
            <w:pPr>
              <w:pStyle w:val="NoSpacing"/>
            </w:pPr>
          </w:p>
        </w:tc>
        <w:tc>
          <w:tcPr>
            <w:tcW w:w="903" w:type="dxa"/>
            <w:tcBorders>
              <w:top w:val="nil"/>
              <w:left w:val="nil"/>
              <w:bottom w:val="nil"/>
              <w:right w:val="nil"/>
            </w:tcBorders>
            <w:shd w:val="clear" w:color="auto" w:fill="auto"/>
            <w:noWrap/>
            <w:vAlign w:val="bottom"/>
            <w:hideMark/>
          </w:tcPr>
          <w:p w:rsidR="004276A0" w:rsidRPr="00BF0E9D" w:rsidRDefault="004276A0" w:rsidP="000334F1">
            <w:pPr>
              <w:pStyle w:val="NoSpacing"/>
            </w:pPr>
          </w:p>
        </w:tc>
      </w:tr>
      <w:tr w:rsidR="004276A0" w:rsidRPr="00BF0E9D" w:rsidTr="00867773">
        <w:trPr>
          <w:trHeight w:val="20"/>
        </w:trPr>
        <w:tc>
          <w:tcPr>
            <w:tcW w:w="450" w:type="dxa"/>
            <w:tcBorders>
              <w:top w:val="nil"/>
              <w:left w:val="nil"/>
              <w:bottom w:val="nil"/>
              <w:right w:val="nil"/>
            </w:tcBorders>
            <w:shd w:val="clear" w:color="auto" w:fill="auto"/>
            <w:noWrap/>
            <w:vAlign w:val="bottom"/>
            <w:hideMark/>
          </w:tcPr>
          <w:p w:rsidR="004276A0" w:rsidRPr="00BF0E9D" w:rsidRDefault="004276A0" w:rsidP="000334F1">
            <w:pPr>
              <w:pStyle w:val="NoSpacing"/>
            </w:pPr>
          </w:p>
        </w:tc>
        <w:tc>
          <w:tcPr>
            <w:tcW w:w="2400" w:type="dxa"/>
            <w:tcBorders>
              <w:top w:val="nil"/>
              <w:left w:val="nil"/>
              <w:bottom w:val="nil"/>
              <w:right w:val="nil"/>
            </w:tcBorders>
            <w:shd w:val="clear" w:color="auto" w:fill="auto"/>
            <w:noWrap/>
            <w:vAlign w:val="bottom"/>
            <w:hideMark/>
          </w:tcPr>
          <w:p w:rsidR="004276A0" w:rsidRPr="0008021D" w:rsidRDefault="004276A0" w:rsidP="000334F1">
            <w:pPr>
              <w:pStyle w:val="NoSpacing"/>
              <w:rPr>
                <w:b/>
                <w:bCs/>
              </w:rPr>
            </w:pPr>
            <w:r w:rsidRPr="0008021D">
              <w:rPr>
                <w:b/>
                <w:bCs/>
              </w:rPr>
              <w:t xml:space="preserve">TOTAL </w:t>
            </w:r>
          </w:p>
        </w:tc>
        <w:tc>
          <w:tcPr>
            <w:tcW w:w="551" w:type="dxa"/>
            <w:tcBorders>
              <w:top w:val="nil"/>
              <w:left w:val="nil"/>
              <w:bottom w:val="nil"/>
              <w:right w:val="nil"/>
            </w:tcBorders>
            <w:shd w:val="clear" w:color="auto" w:fill="auto"/>
            <w:noWrap/>
            <w:vAlign w:val="bottom"/>
            <w:hideMark/>
          </w:tcPr>
          <w:p w:rsidR="004276A0" w:rsidRPr="0008021D" w:rsidRDefault="004276A0" w:rsidP="000334F1">
            <w:pPr>
              <w:pStyle w:val="NoSpacing"/>
              <w:rPr>
                <w:b/>
              </w:rPr>
            </w:pPr>
          </w:p>
        </w:tc>
        <w:tc>
          <w:tcPr>
            <w:tcW w:w="992" w:type="dxa"/>
            <w:tcBorders>
              <w:top w:val="nil"/>
              <w:left w:val="nil"/>
              <w:bottom w:val="nil"/>
              <w:right w:val="nil"/>
            </w:tcBorders>
            <w:shd w:val="clear" w:color="auto" w:fill="auto"/>
            <w:noWrap/>
            <w:vAlign w:val="bottom"/>
            <w:hideMark/>
          </w:tcPr>
          <w:p w:rsidR="004276A0" w:rsidRPr="0008021D" w:rsidRDefault="004276A0" w:rsidP="000334F1">
            <w:pPr>
              <w:pStyle w:val="NoSpacing"/>
              <w:rPr>
                <w:b/>
                <w:bCs/>
              </w:rPr>
            </w:pPr>
            <w:r w:rsidRPr="0008021D">
              <w:rPr>
                <w:b/>
                <w:bCs/>
              </w:rPr>
              <w:t>26.05</w:t>
            </w:r>
          </w:p>
        </w:tc>
        <w:tc>
          <w:tcPr>
            <w:tcW w:w="787" w:type="dxa"/>
            <w:tcBorders>
              <w:top w:val="nil"/>
              <w:left w:val="nil"/>
              <w:bottom w:val="nil"/>
              <w:right w:val="nil"/>
            </w:tcBorders>
            <w:shd w:val="clear" w:color="auto" w:fill="auto"/>
            <w:noWrap/>
            <w:vAlign w:val="bottom"/>
            <w:hideMark/>
          </w:tcPr>
          <w:p w:rsidR="004276A0" w:rsidRPr="0008021D" w:rsidRDefault="004276A0" w:rsidP="000334F1">
            <w:pPr>
              <w:pStyle w:val="NoSpacing"/>
              <w:rPr>
                <w:b/>
              </w:rPr>
            </w:pPr>
          </w:p>
        </w:tc>
        <w:tc>
          <w:tcPr>
            <w:tcW w:w="878" w:type="dxa"/>
            <w:tcBorders>
              <w:top w:val="nil"/>
              <w:left w:val="nil"/>
              <w:bottom w:val="nil"/>
              <w:right w:val="nil"/>
            </w:tcBorders>
            <w:shd w:val="clear" w:color="auto" w:fill="auto"/>
            <w:noWrap/>
            <w:vAlign w:val="bottom"/>
            <w:hideMark/>
          </w:tcPr>
          <w:p w:rsidR="004276A0" w:rsidRPr="0008021D" w:rsidRDefault="004276A0" w:rsidP="000334F1">
            <w:pPr>
              <w:pStyle w:val="NoSpacing"/>
              <w:rPr>
                <w:b/>
                <w:bCs/>
              </w:rPr>
            </w:pPr>
            <w:r w:rsidRPr="0008021D">
              <w:rPr>
                <w:b/>
                <w:bCs/>
              </w:rPr>
              <w:t>21.79</w:t>
            </w:r>
          </w:p>
        </w:tc>
        <w:tc>
          <w:tcPr>
            <w:tcW w:w="551" w:type="dxa"/>
            <w:tcBorders>
              <w:top w:val="nil"/>
              <w:left w:val="nil"/>
              <w:bottom w:val="nil"/>
              <w:right w:val="nil"/>
            </w:tcBorders>
            <w:shd w:val="clear" w:color="auto" w:fill="auto"/>
            <w:noWrap/>
            <w:vAlign w:val="bottom"/>
            <w:hideMark/>
          </w:tcPr>
          <w:p w:rsidR="004276A0" w:rsidRPr="0008021D" w:rsidRDefault="004276A0" w:rsidP="000334F1">
            <w:pPr>
              <w:pStyle w:val="NoSpacing"/>
              <w:rPr>
                <w:b/>
              </w:rPr>
            </w:pPr>
          </w:p>
        </w:tc>
        <w:tc>
          <w:tcPr>
            <w:tcW w:w="1032" w:type="dxa"/>
            <w:tcBorders>
              <w:top w:val="nil"/>
              <w:left w:val="nil"/>
              <w:bottom w:val="nil"/>
              <w:right w:val="nil"/>
            </w:tcBorders>
            <w:shd w:val="clear" w:color="auto" w:fill="auto"/>
            <w:noWrap/>
            <w:vAlign w:val="bottom"/>
            <w:hideMark/>
          </w:tcPr>
          <w:p w:rsidR="004276A0" w:rsidRPr="0008021D" w:rsidRDefault="004276A0" w:rsidP="000334F1">
            <w:pPr>
              <w:pStyle w:val="NoSpacing"/>
              <w:rPr>
                <w:b/>
                <w:bCs/>
              </w:rPr>
            </w:pPr>
            <w:r w:rsidRPr="0008021D">
              <w:rPr>
                <w:b/>
                <w:bCs/>
              </w:rPr>
              <w:t>23.73</w:t>
            </w:r>
          </w:p>
        </w:tc>
        <w:tc>
          <w:tcPr>
            <w:tcW w:w="998" w:type="dxa"/>
            <w:tcBorders>
              <w:top w:val="nil"/>
              <w:left w:val="nil"/>
              <w:bottom w:val="nil"/>
              <w:right w:val="nil"/>
            </w:tcBorders>
            <w:shd w:val="clear" w:color="auto" w:fill="auto"/>
            <w:noWrap/>
            <w:vAlign w:val="bottom"/>
            <w:hideMark/>
          </w:tcPr>
          <w:p w:rsidR="004276A0" w:rsidRPr="0008021D" w:rsidRDefault="004276A0" w:rsidP="000334F1">
            <w:pPr>
              <w:pStyle w:val="NoSpacing"/>
              <w:rPr>
                <w:b/>
              </w:rPr>
            </w:pPr>
          </w:p>
        </w:tc>
        <w:tc>
          <w:tcPr>
            <w:tcW w:w="903" w:type="dxa"/>
            <w:tcBorders>
              <w:top w:val="nil"/>
              <w:left w:val="nil"/>
              <w:bottom w:val="nil"/>
              <w:right w:val="nil"/>
            </w:tcBorders>
            <w:shd w:val="clear" w:color="auto" w:fill="auto"/>
            <w:noWrap/>
            <w:vAlign w:val="bottom"/>
            <w:hideMark/>
          </w:tcPr>
          <w:p w:rsidR="004276A0" w:rsidRPr="0008021D" w:rsidRDefault="004276A0" w:rsidP="000334F1">
            <w:pPr>
              <w:pStyle w:val="NoSpacing"/>
              <w:rPr>
                <w:b/>
                <w:bCs/>
              </w:rPr>
            </w:pPr>
            <w:r w:rsidRPr="0008021D">
              <w:rPr>
                <w:b/>
                <w:bCs/>
              </w:rPr>
              <w:t>72.69</w:t>
            </w:r>
          </w:p>
        </w:tc>
      </w:tr>
    </w:tbl>
    <w:p w:rsidR="00867773" w:rsidRDefault="00867773" w:rsidP="00867773">
      <w:pPr>
        <w:pStyle w:val="ListParagraph"/>
        <w:spacing w:line="360" w:lineRule="auto"/>
        <w:ind w:left="360"/>
        <w:jc w:val="both"/>
        <w:rPr>
          <w:rFonts w:ascii="Cambria" w:hAnsi="Cambria"/>
          <w:sz w:val="24"/>
          <w:szCs w:val="24"/>
        </w:rPr>
      </w:pPr>
    </w:p>
    <w:p w:rsidR="00867773" w:rsidRPr="00D84D4B" w:rsidRDefault="00867773" w:rsidP="00D84D4B">
      <w:pPr>
        <w:pStyle w:val="Footer"/>
        <w:tabs>
          <w:tab w:val="clear" w:pos="4320"/>
          <w:tab w:val="clear" w:pos="8640"/>
        </w:tabs>
        <w:spacing w:line="360" w:lineRule="auto"/>
        <w:ind w:left="360"/>
        <w:jc w:val="both"/>
        <w:rPr>
          <w:rFonts w:ascii="Arial" w:hAnsi="Arial" w:cs="Arial"/>
          <w:sz w:val="22"/>
          <w:szCs w:val="22"/>
        </w:rPr>
      </w:pPr>
      <w:r w:rsidRPr="00D84D4B">
        <w:rPr>
          <w:rFonts w:ascii="Arial" w:hAnsi="Arial" w:cs="Arial"/>
          <w:sz w:val="22"/>
          <w:szCs w:val="22"/>
        </w:rPr>
        <w:lastRenderedPageBreak/>
        <w:t>DISCOMs, presently managing Intra-state ABT in off-line mode and in the process of Preparing RFP and development of above infrastructure in phased manner. The Licensee submits before the Hon’ble Commission to allow the above estimated expenditure of Rs 0.58 Cr. in ARR for FY 2015-16.</w:t>
      </w:r>
    </w:p>
    <w:p w:rsidR="004276A0" w:rsidRPr="00D84D4B" w:rsidRDefault="004276A0" w:rsidP="000334F1">
      <w:pPr>
        <w:pStyle w:val="Heading1"/>
        <w:numPr>
          <w:ilvl w:val="2"/>
          <w:numId w:val="1"/>
        </w:numPr>
        <w:spacing w:line="360" w:lineRule="auto"/>
        <w:jc w:val="both"/>
        <w:rPr>
          <w:sz w:val="22"/>
          <w:szCs w:val="22"/>
        </w:rPr>
      </w:pPr>
      <w:bookmarkStart w:id="14" w:name="_Toc404940140"/>
      <w:r w:rsidRPr="00D84D4B">
        <w:rPr>
          <w:sz w:val="22"/>
          <w:szCs w:val="22"/>
        </w:rPr>
        <w:t>Implementation of Right to Information Act</w:t>
      </w:r>
      <w:bookmarkEnd w:id="14"/>
    </w:p>
    <w:p w:rsidR="004276A0" w:rsidRPr="00D84D4B" w:rsidRDefault="00E83FF2" w:rsidP="00B04A3F">
      <w:pPr>
        <w:numPr>
          <w:ilvl w:val="0"/>
          <w:numId w:val="11"/>
        </w:numPr>
        <w:autoSpaceDE w:val="0"/>
        <w:autoSpaceDN w:val="0"/>
        <w:adjustRightInd w:val="0"/>
        <w:spacing w:after="200" w:line="360" w:lineRule="auto"/>
        <w:ind w:left="720" w:hanging="360"/>
        <w:jc w:val="both"/>
        <w:rPr>
          <w:rFonts w:ascii="Arial" w:hAnsi="Arial" w:cs="Arial"/>
          <w:sz w:val="22"/>
          <w:szCs w:val="22"/>
          <w:u w:val="single"/>
        </w:rPr>
      </w:pPr>
      <w:r w:rsidRPr="00D84D4B">
        <w:rPr>
          <w:rFonts w:ascii="Arial" w:hAnsi="Arial" w:cs="Arial"/>
          <w:sz w:val="22"/>
          <w:szCs w:val="22"/>
        </w:rPr>
        <w:t xml:space="preserve">As per the direction of the Hon’ble OIC substantiated by the Energy Dept. letter, the </w:t>
      </w:r>
      <w:r w:rsidR="004276A0" w:rsidRPr="00D84D4B">
        <w:rPr>
          <w:rFonts w:ascii="Arial" w:hAnsi="Arial" w:cs="Arial"/>
          <w:sz w:val="22"/>
          <w:szCs w:val="22"/>
        </w:rPr>
        <w:t>DISCOMS have implemented the RTI and accordingly appointed PIOs, APIOs and First Appellate Authorities, without  prejudice to our rights in the SLP filed before the Hon’ble Supreme Court</w:t>
      </w:r>
      <w:r w:rsidRPr="00D84D4B">
        <w:rPr>
          <w:rFonts w:ascii="Arial" w:hAnsi="Arial" w:cs="Arial"/>
          <w:sz w:val="22"/>
          <w:szCs w:val="22"/>
        </w:rPr>
        <w:t xml:space="preserve">. </w:t>
      </w:r>
      <w:r w:rsidR="004276A0" w:rsidRPr="00D84D4B">
        <w:rPr>
          <w:rFonts w:ascii="Arial" w:hAnsi="Arial" w:cs="Arial"/>
          <w:sz w:val="22"/>
          <w:szCs w:val="22"/>
        </w:rPr>
        <w:t xml:space="preserve">the </w:t>
      </w:r>
    </w:p>
    <w:p w:rsidR="004276A0" w:rsidRPr="00D84D4B" w:rsidRDefault="004276A0" w:rsidP="00B04A3F">
      <w:pPr>
        <w:numPr>
          <w:ilvl w:val="0"/>
          <w:numId w:val="11"/>
        </w:numPr>
        <w:autoSpaceDE w:val="0"/>
        <w:autoSpaceDN w:val="0"/>
        <w:adjustRightInd w:val="0"/>
        <w:spacing w:after="200" w:line="360" w:lineRule="auto"/>
        <w:ind w:left="720" w:hanging="360"/>
        <w:jc w:val="both"/>
        <w:rPr>
          <w:rFonts w:ascii="Arial" w:hAnsi="Arial" w:cs="Arial"/>
          <w:sz w:val="22"/>
          <w:szCs w:val="22"/>
          <w:u w:val="single"/>
        </w:rPr>
      </w:pPr>
      <w:r w:rsidRPr="00D84D4B">
        <w:rPr>
          <w:rFonts w:ascii="Arial" w:hAnsi="Arial" w:cs="Arial"/>
          <w:sz w:val="22"/>
          <w:szCs w:val="22"/>
        </w:rPr>
        <w:t>For effective and proper implementation of RTI, a comprehensive proportion of finance is highly required towards organising and establishing various Capacity Building initiatives and programmes. Besides allocation of fund is also required for establishment of separate RTI Cell in Corporate, Circle and Division levels. The different heads of expenses can be broadly segmented into the following heads;</w:t>
      </w:r>
    </w:p>
    <w:p w:rsidR="004276A0" w:rsidRPr="00D84D4B" w:rsidRDefault="004276A0" w:rsidP="00B04A3F">
      <w:pPr>
        <w:numPr>
          <w:ilvl w:val="0"/>
          <w:numId w:val="11"/>
        </w:numPr>
        <w:autoSpaceDE w:val="0"/>
        <w:autoSpaceDN w:val="0"/>
        <w:adjustRightInd w:val="0"/>
        <w:spacing w:after="200" w:line="360" w:lineRule="auto"/>
        <w:ind w:left="1440" w:hanging="360"/>
        <w:jc w:val="both"/>
        <w:rPr>
          <w:rFonts w:ascii="Arial" w:hAnsi="Arial" w:cs="Arial"/>
          <w:sz w:val="22"/>
          <w:szCs w:val="22"/>
          <w:u w:val="single"/>
        </w:rPr>
      </w:pPr>
      <w:r w:rsidRPr="00D84D4B">
        <w:rPr>
          <w:rFonts w:ascii="Arial" w:hAnsi="Arial" w:cs="Arial"/>
          <w:sz w:val="22"/>
          <w:szCs w:val="22"/>
        </w:rPr>
        <w:t>Training of Public Authorities</w:t>
      </w:r>
    </w:p>
    <w:p w:rsidR="004276A0" w:rsidRPr="00D84D4B" w:rsidRDefault="004276A0" w:rsidP="00B04A3F">
      <w:pPr>
        <w:numPr>
          <w:ilvl w:val="0"/>
          <w:numId w:val="11"/>
        </w:numPr>
        <w:autoSpaceDE w:val="0"/>
        <w:autoSpaceDN w:val="0"/>
        <w:adjustRightInd w:val="0"/>
        <w:spacing w:after="200" w:line="360" w:lineRule="auto"/>
        <w:ind w:left="1440" w:hanging="360"/>
        <w:jc w:val="both"/>
        <w:rPr>
          <w:rFonts w:ascii="Arial" w:hAnsi="Arial" w:cs="Arial"/>
          <w:sz w:val="22"/>
          <w:szCs w:val="22"/>
          <w:u w:val="single"/>
        </w:rPr>
      </w:pPr>
      <w:r w:rsidRPr="00D84D4B">
        <w:rPr>
          <w:rFonts w:ascii="Arial" w:hAnsi="Arial" w:cs="Arial"/>
          <w:sz w:val="22"/>
          <w:szCs w:val="22"/>
        </w:rPr>
        <w:t>Record Management</w:t>
      </w:r>
    </w:p>
    <w:p w:rsidR="004276A0" w:rsidRPr="00D84D4B" w:rsidRDefault="004276A0" w:rsidP="00B04A3F">
      <w:pPr>
        <w:numPr>
          <w:ilvl w:val="0"/>
          <w:numId w:val="11"/>
        </w:numPr>
        <w:autoSpaceDE w:val="0"/>
        <w:autoSpaceDN w:val="0"/>
        <w:adjustRightInd w:val="0"/>
        <w:spacing w:after="200" w:line="360" w:lineRule="auto"/>
        <w:ind w:left="1440" w:hanging="360"/>
        <w:jc w:val="both"/>
        <w:rPr>
          <w:rFonts w:ascii="Arial" w:hAnsi="Arial" w:cs="Arial"/>
          <w:sz w:val="22"/>
          <w:szCs w:val="22"/>
          <w:u w:val="single"/>
        </w:rPr>
      </w:pPr>
      <w:r w:rsidRPr="00D84D4B">
        <w:rPr>
          <w:rFonts w:ascii="Arial" w:hAnsi="Arial" w:cs="Arial"/>
          <w:sz w:val="22"/>
          <w:szCs w:val="22"/>
        </w:rPr>
        <w:t>Establishment of RTI Cells</w:t>
      </w:r>
    </w:p>
    <w:p w:rsidR="004276A0" w:rsidRPr="00D84D4B" w:rsidRDefault="004276A0" w:rsidP="00B04A3F">
      <w:pPr>
        <w:numPr>
          <w:ilvl w:val="0"/>
          <w:numId w:val="11"/>
        </w:numPr>
        <w:autoSpaceDE w:val="0"/>
        <w:autoSpaceDN w:val="0"/>
        <w:adjustRightInd w:val="0"/>
        <w:spacing w:after="200" w:line="360" w:lineRule="auto"/>
        <w:ind w:left="1440" w:hanging="360"/>
        <w:jc w:val="both"/>
        <w:rPr>
          <w:rFonts w:ascii="Arial" w:hAnsi="Arial" w:cs="Arial"/>
          <w:sz w:val="22"/>
          <w:szCs w:val="22"/>
          <w:u w:val="single"/>
        </w:rPr>
      </w:pPr>
      <w:r w:rsidRPr="00D84D4B">
        <w:rPr>
          <w:rFonts w:ascii="Arial" w:hAnsi="Arial" w:cs="Arial"/>
          <w:sz w:val="22"/>
          <w:szCs w:val="22"/>
        </w:rPr>
        <w:t>Creation of Assets</w:t>
      </w:r>
    </w:p>
    <w:p w:rsidR="004276A0" w:rsidRPr="00D84D4B" w:rsidRDefault="004276A0" w:rsidP="00B04A3F">
      <w:pPr>
        <w:numPr>
          <w:ilvl w:val="0"/>
          <w:numId w:val="11"/>
        </w:numPr>
        <w:autoSpaceDE w:val="0"/>
        <w:autoSpaceDN w:val="0"/>
        <w:adjustRightInd w:val="0"/>
        <w:spacing w:after="200" w:line="360" w:lineRule="auto"/>
        <w:ind w:left="1440" w:hanging="360"/>
        <w:jc w:val="both"/>
        <w:rPr>
          <w:rFonts w:ascii="Arial" w:hAnsi="Arial" w:cs="Arial"/>
          <w:sz w:val="22"/>
          <w:szCs w:val="22"/>
          <w:u w:val="single"/>
        </w:rPr>
      </w:pPr>
      <w:r w:rsidRPr="00D84D4B">
        <w:rPr>
          <w:rFonts w:ascii="Arial" w:hAnsi="Arial" w:cs="Arial"/>
          <w:sz w:val="22"/>
          <w:szCs w:val="22"/>
        </w:rPr>
        <w:t>Restructuring of IT and development of Central Data Base.</w:t>
      </w:r>
    </w:p>
    <w:p w:rsidR="004276A0" w:rsidRPr="00D84D4B" w:rsidRDefault="004276A0" w:rsidP="004276A0">
      <w:pPr>
        <w:autoSpaceDE w:val="0"/>
        <w:autoSpaceDN w:val="0"/>
        <w:adjustRightInd w:val="0"/>
        <w:spacing w:after="200" w:line="360" w:lineRule="auto"/>
        <w:ind w:left="360"/>
        <w:jc w:val="both"/>
        <w:rPr>
          <w:rFonts w:ascii="Arial" w:hAnsi="Arial" w:cs="Arial"/>
          <w:sz w:val="22"/>
          <w:szCs w:val="22"/>
          <w:u w:val="single"/>
        </w:rPr>
      </w:pPr>
      <w:r w:rsidRPr="00D84D4B">
        <w:rPr>
          <w:rFonts w:ascii="Arial" w:hAnsi="Arial" w:cs="Arial"/>
          <w:sz w:val="22"/>
          <w:szCs w:val="22"/>
          <w:u w:val="single"/>
        </w:rPr>
        <w:t>The estimated expenses to be incurred for setting up and maintenance of activities for successful implementation of the Right to Information Act is as under.</w:t>
      </w:r>
    </w:p>
    <w:tbl>
      <w:tblPr>
        <w:tblW w:w="622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8"/>
        <w:gridCol w:w="1440"/>
      </w:tblGrid>
      <w:tr w:rsidR="00B15D71" w:rsidRPr="00D84D4B" w:rsidTr="00AE0BAB">
        <w:trPr>
          <w:cantSplit/>
          <w:trHeight w:val="350"/>
        </w:trPr>
        <w:tc>
          <w:tcPr>
            <w:tcW w:w="4788" w:type="dxa"/>
          </w:tcPr>
          <w:p w:rsidR="00B15D71" w:rsidRPr="00D84D4B" w:rsidRDefault="00B15D71" w:rsidP="00AE0BAB">
            <w:pPr>
              <w:autoSpaceDE w:val="0"/>
              <w:autoSpaceDN w:val="0"/>
              <w:adjustRightInd w:val="0"/>
              <w:spacing w:after="200"/>
              <w:jc w:val="center"/>
              <w:rPr>
                <w:rFonts w:ascii="Arial" w:hAnsi="Arial" w:cs="Arial"/>
                <w:b/>
                <w:sz w:val="22"/>
                <w:szCs w:val="22"/>
              </w:rPr>
            </w:pPr>
            <w:r w:rsidRPr="00D84D4B">
              <w:rPr>
                <w:rFonts w:ascii="Arial" w:hAnsi="Arial" w:cs="Arial"/>
                <w:b/>
                <w:sz w:val="22"/>
                <w:szCs w:val="22"/>
              </w:rPr>
              <w:t>Particulars</w:t>
            </w:r>
          </w:p>
        </w:tc>
        <w:tc>
          <w:tcPr>
            <w:tcW w:w="1440" w:type="dxa"/>
          </w:tcPr>
          <w:p w:rsidR="00B15D71" w:rsidRPr="00D84D4B" w:rsidRDefault="00B15D71" w:rsidP="00AE0BAB">
            <w:pPr>
              <w:autoSpaceDE w:val="0"/>
              <w:autoSpaceDN w:val="0"/>
              <w:adjustRightInd w:val="0"/>
              <w:spacing w:after="200"/>
              <w:jc w:val="both"/>
              <w:rPr>
                <w:rFonts w:ascii="Arial" w:hAnsi="Arial" w:cs="Arial"/>
                <w:sz w:val="22"/>
                <w:szCs w:val="22"/>
                <w:u w:val="single"/>
              </w:rPr>
            </w:pPr>
          </w:p>
        </w:tc>
      </w:tr>
      <w:tr w:rsidR="00B15D71" w:rsidRPr="00D84D4B" w:rsidTr="00AE0BAB">
        <w:trPr>
          <w:cantSplit/>
          <w:trHeight w:val="440"/>
        </w:trPr>
        <w:tc>
          <w:tcPr>
            <w:tcW w:w="4788" w:type="dxa"/>
            <w:vAlign w:val="center"/>
          </w:tcPr>
          <w:p w:rsidR="00B15D71" w:rsidRPr="00D84D4B" w:rsidRDefault="00B15D71" w:rsidP="00AE0BAB">
            <w:pPr>
              <w:autoSpaceDE w:val="0"/>
              <w:autoSpaceDN w:val="0"/>
              <w:adjustRightInd w:val="0"/>
              <w:jc w:val="center"/>
              <w:rPr>
                <w:rFonts w:ascii="Arial" w:hAnsi="Arial" w:cs="Arial"/>
                <w:sz w:val="22"/>
                <w:szCs w:val="22"/>
              </w:rPr>
            </w:pPr>
            <w:r w:rsidRPr="00D84D4B">
              <w:rPr>
                <w:rFonts w:ascii="Arial" w:hAnsi="Arial" w:cs="Arial"/>
                <w:sz w:val="22"/>
                <w:szCs w:val="22"/>
              </w:rPr>
              <w:t>No of PIOs and Appellate Authorities</w:t>
            </w:r>
          </w:p>
        </w:tc>
        <w:tc>
          <w:tcPr>
            <w:tcW w:w="1440" w:type="dxa"/>
            <w:vAlign w:val="center"/>
          </w:tcPr>
          <w:p w:rsidR="00B15D71" w:rsidRPr="00D84D4B" w:rsidRDefault="00B15D71" w:rsidP="00AE0BAB">
            <w:pPr>
              <w:autoSpaceDE w:val="0"/>
              <w:autoSpaceDN w:val="0"/>
              <w:adjustRightInd w:val="0"/>
              <w:spacing w:after="200"/>
              <w:jc w:val="center"/>
              <w:rPr>
                <w:rFonts w:ascii="Arial" w:hAnsi="Arial" w:cs="Arial"/>
                <w:sz w:val="22"/>
                <w:szCs w:val="22"/>
              </w:rPr>
            </w:pPr>
            <w:r w:rsidRPr="00D84D4B">
              <w:rPr>
                <w:rFonts w:ascii="Arial" w:hAnsi="Arial" w:cs="Arial"/>
                <w:sz w:val="22"/>
                <w:szCs w:val="22"/>
              </w:rPr>
              <w:t>23</w:t>
            </w:r>
          </w:p>
        </w:tc>
      </w:tr>
      <w:tr w:rsidR="00B15D71" w:rsidRPr="00D84D4B" w:rsidTr="00AE0BAB">
        <w:trPr>
          <w:cantSplit/>
          <w:trHeight w:val="20"/>
        </w:trPr>
        <w:tc>
          <w:tcPr>
            <w:tcW w:w="4788" w:type="dxa"/>
            <w:vAlign w:val="center"/>
          </w:tcPr>
          <w:p w:rsidR="00B15D71" w:rsidRPr="00D84D4B" w:rsidRDefault="00B15D71" w:rsidP="00AE0BAB">
            <w:pPr>
              <w:autoSpaceDE w:val="0"/>
              <w:autoSpaceDN w:val="0"/>
              <w:adjustRightInd w:val="0"/>
              <w:jc w:val="center"/>
              <w:rPr>
                <w:rFonts w:ascii="Arial" w:hAnsi="Arial" w:cs="Arial"/>
                <w:sz w:val="22"/>
                <w:szCs w:val="22"/>
              </w:rPr>
            </w:pPr>
            <w:r w:rsidRPr="00D84D4B">
              <w:rPr>
                <w:rFonts w:ascii="Arial" w:hAnsi="Arial" w:cs="Arial"/>
                <w:sz w:val="22"/>
                <w:szCs w:val="22"/>
              </w:rPr>
              <w:t>Physical infrastructure in Rs Lacs</w:t>
            </w:r>
          </w:p>
        </w:tc>
        <w:tc>
          <w:tcPr>
            <w:tcW w:w="1440" w:type="dxa"/>
            <w:vAlign w:val="center"/>
          </w:tcPr>
          <w:p w:rsidR="00B15D71" w:rsidRPr="00D84D4B" w:rsidRDefault="00B15D71" w:rsidP="00AE0BAB">
            <w:pPr>
              <w:autoSpaceDE w:val="0"/>
              <w:autoSpaceDN w:val="0"/>
              <w:adjustRightInd w:val="0"/>
              <w:spacing w:after="200"/>
              <w:jc w:val="center"/>
              <w:rPr>
                <w:rFonts w:ascii="Arial" w:hAnsi="Arial" w:cs="Arial"/>
                <w:sz w:val="22"/>
                <w:szCs w:val="22"/>
              </w:rPr>
            </w:pPr>
            <w:r w:rsidRPr="00D84D4B">
              <w:rPr>
                <w:rFonts w:ascii="Arial" w:hAnsi="Arial" w:cs="Arial"/>
                <w:sz w:val="22"/>
                <w:szCs w:val="22"/>
              </w:rPr>
              <w:t>7.25</w:t>
            </w:r>
          </w:p>
        </w:tc>
      </w:tr>
      <w:tr w:rsidR="00B15D71" w:rsidRPr="00D84D4B" w:rsidTr="00AE0BAB">
        <w:trPr>
          <w:cantSplit/>
          <w:trHeight w:val="20"/>
        </w:trPr>
        <w:tc>
          <w:tcPr>
            <w:tcW w:w="4788" w:type="dxa"/>
            <w:vAlign w:val="center"/>
          </w:tcPr>
          <w:p w:rsidR="00B15D71" w:rsidRPr="00D84D4B" w:rsidRDefault="00B15D71" w:rsidP="00AE0BAB">
            <w:pPr>
              <w:autoSpaceDE w:val="0"/>
              <w:autoSpaceDN w:val="0"/>
              <w:adjustRightInd w:val="0"/>
              <w:jc w:val="center"/>
              <w:rPr>
                <w:rFonts w:ascii="Arial" w:hAnsi="Arial" w:cs="Arial"/>
                <w:sz w:val="22"/>
                <w:szCs w:val="22"/>
              </w:rPr>
            </w:pPr>
            <w:r w:rsidRPr="00D84D4B">
              <w:rPr>
                <w:rFonts w:ascii="Arial" w:hAnsi="Arial" w:cs="Arial"/>
                <w:sz w:val="22"/>
                <w:szCs w:val="22"/>
              </w:rPr>
              <w:t>Technology Development in Rs Lacs</w:t>
            </w:r>
          </w:p>
        </w:tc>
        <w:tc>
          <w:tcPr>
            <w:tcW w:w="1440" w:type="dxa"/>
            <w:vAlign w:val="center"/>
          </w:tcPr>
          <w:p w:rsidR="00B15D71" w:rsidRPr="00D84D4B" w:rsidRDefault="00B15D71" w:rsidP="00AE0BAB">
            <w:pPr>
              <w:autoSpaceDE w:val="0"/>
              <w:autoSpaceDN w:val="0"/>
              <w:adjustRightInd w:val="0"/>
              <w:spacing w:after="200"/>
              <w:jc w:val="center"/>
              <w:rPr>
                <w:rFonts w:ascii="Arial" w:hAnsi="Arial" w:cs="Arial"/>
                <w:sz w:val="22"/>
                <w:szCs w:val="22"/>
              </w:rPr>
            </w:pPr>
            <w:r w:rsidRPr="00D84D4B">
              <w:rPr>
                <w:rFonts w:ascii="Arial" w:hAnsi="Arial" w:cs="Arial"/>
                <w:sz w:val="22"/>
                <w:szCs w:val="22"/>
              </w:rPr>
              <w:t>8.84</w:t>
            </w:r>
          </w:p>
        </w:tc>
      </w:tr>
      <w:tr w:rsidR="00B15D71" w:rsidRPr="00D84D4B" w:rsidTr="00AE0BAB">
        <w:trPr>
          <w:cantSplit/>
          <w:trHeight w:val="20"/>
        </w:trPr>
        <w:tc>
          <w:tcPr>
            <w:tcW w:w="4788" w:type="dxa"/>
            <w:vAlign w:val="center"/>
          </w:tcPr>
          <w:p w:rsidR="00B15D71" w:rsidRPr="00D84D4B" w:rsidRDefault="00B15D71" w:rsidP="00AE0BAB">
            <w:pPr>
              <w:autoSpaceDE w:val="0"/>
              <w:autoSpaceDN w:val="0"/>
              <w:adjustRightInd w:val="0"/>
              <w:jc w:val="center"/>
              <w:rPr>
                <w:rFonts w:ascii="Arial" w:hAnsi="Arial" w:cs="Arial"/>
                <w:sz w:val="22"/>
                <w:szCs w:val="22"/>
              </w:rPr>
            </w:pPr>
            <w:r w:rsidRPr="00D84D4B">
              <w:rPr>
                <w:rFonts w:ascii="Arial" w:hAnsi="Arial" w:cs="Arial"/>
                <w:sz w:val="22"/>
                <w:szCs w:val="22"/>
              </w:rPr>
              <w:t>Operational Expenses in Rs Lacs</w:t>
            </w:r>
          </w:p>
        </w:tc>
        <w:tc>
          <w:tcPr>
            <w:tcW w:w="1440" w:type="dxa"/>
            <w:vAlign w:val="center"/>
          </w:tcPr>
          <w:p w:rsidR="00B15D71" w:rsidRPr="00D84D4B" w:rsidRDefault="00B15D71" w:rsidP="00AE0BAB">
            <w:pPr>
              <w:autoSpaceDE w:val="0"/>
              <w:autoSpaceDN w:val="0"/>
              <w:adjustRightInd w:val="0"/>
              <w:spacing w:after="200"/>
              <w:jc w:val="center"/>
              <w:rPr>
                <w:rFonts w:ascii="Arial" w:hAnsi="Arial" w:cs="Arial"/>
                <w:sz w:val="22"/>
                <w:szCs w:val="22"/>
              </w:rPr>
            </w:pPr>
            <w:r w:rsidRPr="00D84D4B">
              <w:rPr>
                <w:rFonts w:ascii="Arial" w:hAnsi="Arial" w:cs="Arial"/>
                <w:sz w:val="22"/>
                <w:szCs w:val="22"/>
              </w:rPr>
              <w:t>5.52</w:t>
            </w:r>
          </w:p>
        </w:tc>
      </w:tr>
      <w:tr w:rsidR="00B15D71" w:rsidRPr="00D84D4B" w:rsidTr="00AE0BAB">
        <w:trPr>
          <w:cantSplit/>
          <w:trHeight w:val="20"/>
        </w:trPr>
        <w:tc>
          <w:tcPr>
            <w:tcW w:w="4788" w:type="dxa"/>
            <w:vAlign w:val="center"/>
          </w:tcPr>
          <w:p w:rsidR="00B15D71" w:rsidRPr="00D84D4B" w:rsidRDefault="00B15D71" w:rsidP="00AE0BAB">
            <w:pPr>
              <w:autoSpaceDE w:val="0"/>
              <w:autoSpaceDN w:val="0"/>
              <w:adjustRightInd w:val="0"/>
              <w:jc w:val="center"/>
              <w:rPr>
                <w:rFonts w:ascii="Arial" w:hAnsi="Arial" w:cs="Arial"/>
                <w:sz w:val="22"/>
                <w:szCs w:val="22"/>
              </w:rPr>
            </w:pPr>
            <w:r w:rsidRPr="00D84D4B">
              <w:rPr>
                <w:rFonts w:ascii="Arial" w:hAnsi="Arial" w:cs="Arial"/>
                <w:sz w:val="22"/>
                <w:szCs w:val="22"/>
              </w:rPr>
              <w:t>Training of Employees in Rs Lacs</w:t>
            </w:r>
          </w:p>
        </w:tc>
        <w:tc>
          <w:tcPr>
            <w:tcW w:w="1440" w:type="dxa"/>
            <w:vAlign w:val="center"/>
          </w:tcPr>
          <w:p w:rsidR="00B15D71" w:rsidRPr="00D84D4B" w:rsidRDefault="00B15D71" w:rsidP="00AE0BAB">
            <w:pPr>
              <w:autoSpaceDE w:val="0"/>
              <w:autoSpaceDN w:val="0"/>
              <w:adjustRightInd w:val="0"/>
              <w:spacing w:after="200"/>
              <w:jc w:val="center"/>
              <w:rPr>
                <w:rFonts w:ascii="Arial" w:hAnsi="Arial" w:cs="Arial"/>
                <w:sz w:val="22"/>
                <w:szCs w:val="22"/>
              </w:rPr>
            </w:pPr>
            <w:r w:rsidRPr="00D84D4B">
              <w:rPr>
                <w:rFonts w:ascii="Arial" w:hAnsi="Arial" w:cs="Arial"/>
                <w:sz w:val="22"/>
                <w:szCs w:val="22"/>
              </w:rPr>
              <w:t>3.00</w:t>
            </w:r>
          </w:p>
        </w:tc>
      </w:tr>
      <w:tr w:rsidR="00B15D71" w:rsidRPr="00D84D4B" w:rsidTr="00AE0BAB">
        <w:trPr>
          <w:cantSplit/>
          <w:trHeight w:val="20"/>
        </w:trPr>
        <w:tc>
          <w:tcPr>
            <w:tcW w:w="4788" w:type="dxa"/>
            <w:vAlign w:val="center"/>
          </w:tcPr>
          <w:p w:rsidR="00B15D71" w:rsidRPr="00D84D4B" w:rsidRDefault="00B15D71" w:rsidP="00AE0BAB">
            <w:pPr>
              <w:autoSpaceDE w:val="0"/>
              <w:autoSpaceDN w:val="0"/>
              <w:adjustRightInd w:val="0"/>
              <w:jc w:val="center"/>
              <w:rPr>
                <w:rFonts w:ascii="Arial" w:hAnsi="Arial" w:cs="Arial"/>
                <w:sz w:val="22"/>
                <w:szCs w:val="22"/>
              </w:rPr>
            </w:pPr>
            <w:r w:rsidRPr="00D84D4B">
              <w:rPr>
                <w:rFonts w:ascii="Arial" w:hAnsi="Arial" w:cs="Arial"/>
                <w:sz w:val="22"/>
                <w:szCs w:val="22"/>
              </w:rPr>
              <w:t>Promotion of RTI in Rs Lacs</w:t>
            </w:r>
          </w:p>
        </w:tc>
        <w:tc>
          <w:tcPr>
            <w:tcW w:w="1440" w:type="dxa"/>
            <w:vAlign w:val="center"/>
          </w:tcPr>
          <w:p w:rsidR="00B15D71" w:rsidRPr="00D84D4B" w:rsidRDefault="00B15D71" w:rsidP="00AE0BAB">
            <w:pPr>
              <w:autoSpaceDE w:val="0"/>
              <w:autoSpaceDN w:val="0"/>
              <w:adjustRightInd w:val="0"/>
              <w:spacing w:after="200"/>
              <w:jc w:val="center"/>
              <w:rPr>
                <w:rFonts w:ascii="Arial" w:hAnsi="Arial" w:cs="Arial"/>
                <w:sz w:val="22"/>
                <w:szCs w:val="22"/>
              </w:rPr>
            </w:pPr>
            <w:r w:rsidRPr="00D84D4B">
              <w:rPr>
                <w:rFonts w:ascii="Arial" w:hAnsi="Arial" w:cs="Arial"/>
                <w:sz w:val="22"/>
                <w:szCs w:val="22"/>
              </w:rPr>
              <w:t>1.00</w:t>
            </w:r>
          </w:p>
        </w:tc>
      </w:tr>
      <w:tr w:rsidR="00B15D71" w:rsidRPr="00D84D4B" w:rsidTr="00AE0BAB">
        <w:trPr>
          <w:cantSplit/>
          <w:trHeight w:val="20"/>
        </w:trPr>
        <w:tc>
          <w:tcPr>
            <w:tcW w:w="4788" w:type="dxa"/>
            <w:vAlign w:val="center"/>
          </w:tcPr>
          <w:p w:rsidR="00B15D71" w:rsidRPr="00D84D4B" w:rsidRDefault="00B15D71" w:rsidP="00AE0BAB">
            <w:pPr>
              <w:autoSpaceDE w:val="0"/>
              <w:autoSpaceDN w:val="0"/>
              <w:adjustRightInd w:val="0"/>
              <w:jc w:val="center"/>
              <w:rPr>
                <w:rFonts w:ascii="Arial" w:hAnsi="Arial" w:cs="Arial"/>
                <w:b/>
                <w:sz w:val="22"/>
                <w:szCs w:val="22"/>
              </w:rPr>
            </w:pPr>
            <w:r w:rsidRPr="00D84D4B">
              <w:rPr>
                <w:rFonts w:ascii="Arial" w:hAnsi="Arial" w:cs="Arial"/>
                <w:b/>
                <w:sz w:val="22"/>
                <w:szCs w:val="22"/>
              </w:rPr>
              <w:t>TOTAL(Rs.lacs)</w:t>
            </w:r>
          </w:p>
        </w:tc>
        <w:tc>
          <w:tcPr>
            <w:tcW w:w="1440" w:type="dxa"/>
            <w:vAlign w:val="center"/>
          </w:tcPr>
          <w:p w:rsidR="00B15D71" w:rsidRPr="00D84D4B" w:rsidRDefault="00B15D71" w:rsidP="00AE0BAB">
            <w:pPr>
              <w:autoSpaceDE w:val="0"/>
              <w:autoSpaceDN w:val="0"/>
              <w:adjustRightInd w:val="0"/>
              <w:spacing w:after="200"/>
              <w:jc w:val="center"/>
              <w:rPr>
                <w:rFonts w:ascii="Arial" w:hAnsi="Arial" w:cs="Arial"/>
                <w:sz w:val="22"/>
                <w:szCs w:val="22"/>
              </w:rPr>
            </w:pPr>
            <w:r w:rsidRPr="00D84D4B">
              <w:rPr>
                <w:rFonts w:ascii="Arial" w:hAnsi="Arial" w:cs="Arial"/>
                <w:sz w:val="22"/>
                <w:szCs w:val="22"/>
              </w:rPr>
              <w:t>25.61</w:t>
            </w:r>
          </w:p>
        </w:tc>
      </w:tr>
    </w:tbl>
    <w:p w:rsidR="004276A0" w:rsidRPr="00D84D4B" w:rsidRDefault="004276A0" w:rsidP="004276A0">
      <w:pPr>
        <w:autoSpaceDE w:val="0"/>
        <w:autoSpaceDN w:val="0"/>
        <w:adjustRightInd w:val="0"/>
        <w:spacing w:after="200" w:line="360" w:lineRule="auto"/>
        <w:ind w:left="360"/>
        <w:jc w:val="both"/>
        <w:rPr>
          <w:rFonts w:ascii="Arial" w:hAnsi="Arial" w:cs="Arial"/>
          <w:sz w:val="22"/>
          <w:szCs w:val="22"/>
          <w:u w:val="single"/>
        </w:rPr>
      </w:pPr>
    </w:p>
    <w:p w:rsidR="004276A0" w:rsidRPr="00D84D4B" w:rsidRDefault="004276A0" w:rsidP="000334F1">
      <w:pPr>
        <w:pStyle w:val="Heading1"/>
        <w:numPr>
          <w:ilvl w:val="2"/>
          <w:numId w:val="1"/>
        </w:numPr>
        <w:spacing w:line="360" w:lineRule="auto"/>
        <w:jc w:val="both"/>
        <w:rPr>
          <w:sz w:val="22"/>
          <w:szCs w:val="22"/>
        </w:rPr>
      </w:pPr>
      <w:bookmarkStart w:id="15" w:name="_Toc404940141"/>
      <w:r w:rsidRPr="00D84D4B">
        <w:rPr>
          <w:sz w:val="22"/>
          <w:szCs w:val="22"/>
        </w:rPr>
        <w:lastRenderedPageBreak/>
        <w:t>Demand Side Management</w:t>
      </w:r>
      <w:bookmarkEnd w:id="15"/>
      <w:r w:rsidR="001D4339">
        <w:rPr>
          <w:sz w:val="22"/>
          <w:szCs w:val="22"/>
        </w:rPr>
        <w:t>(DSM)</w:t>
      </w:r>
    </w:p>
    <w:p w:rsidR="004276A0" w:rsidRPr="00D84D4B" w:rsidRDefault="004276A0" w:rsidP="004276A0">
      <w:pPr>
        <w:spacing w:line="360" w:lineRule="auto"/>
        <w:jc w:val="both"/>
        <w:rPr>
          <w:rFonts w:ascii="Arial" w:hAnsi="Arial" w:cs="Arial"/>
          <w:sz w:val="22"/>
          <w:szCs w:val="22"/>
        </w:rPr>
      </w:pPr>
      <w:r w:rsidRPr="00D84D4B">
        <w:rPr>
          <w:rFonts w:ascii="Arial" w:hAnsi="Arial" w:cs="Arial"/>
          <w:sz w:val="22"/>
          <w:szCs w:val="22"/>
        </w:rPr>
        <w:t>Demand Side Management Regulation, 2011 has already been i</w:t>
      </w:r>
      <w:r w:rsidR="001D4339">
        <w:rPr>
          <w:rFonts w:ascii="Arial" w:hAnsi="Arial" w:cs="Arial"/>
          <w:sz w:val="22"/>
          <w:szCs w:val="22"/>
        </w:rPr>
        <w:t xml:space="preserve">ssued by Hon’ble Commission on </w:t>
      </w:r>
      <w:r w:rsidRPr="00D84D4B">
        <w:rPr>
          <w:rFonts w:ascii="Arial" w:hAnsi="Arial" w:cs="Arial"/>
          <w:sz w:val="22"/>
          <w:szCs w:val="22"/>
        </w:rPr>
        <w:t>20.08.2011. The Objective of DSM is as under :</w:t>
      </w:r>
    </w:p>
    <w:p w:rsidR="00D84D4B" w:rsidRDefault="00D84D4B" w:rsidP="004276A0">
      <w:pPr>
        <w:spacing w:line="360" w:lineRule="auto"/>
        <w:jc w:val="both"/>
        <w:rPr>
          <w:rFonts w:ascii="Arial" w:hAnsi="Arial" w:cs="Arial"/>
          <w:sz w:val="22"/>
          <w:szCs w:val="22"/>
        </w:rPr>
      </w:pPr>
    </w:p>
    <w:p w:rsidR="004276A0" w:rsidRPr="00D84D4B" w:rsidRDefault="004276A0" w:rsidP="004276A0">
      <w:pPr>
        <w:spacing w:line="360" w:lineRule="auto"/>
        <w:jc w:val="both"/>
        <w:rPr>
          <w:rFonts w:ascii="Arial" w:hAnsi="Arial" w:cs="Arial"/>
          <w:sz w:val="22"/>
          <w:szCs w:val="22"/>
        </w:rPr>
      </w:pPr>
      <w:r w:rsidRPr="00D84D4B">
        <w:rPr>
          <w:rFonts w:ascii="Arial" w:hAnsi="Arial" w:cs="Arial"/>
          <w:sz w:val="22"/>
          <w:szCs w:val="22"/>
        </w:rPr>
        <w:t>The Commission shall formulate DSM objectives that shall be considered in the advancement and implementation of cost effectives in the state. The objective may include power shortage mitigation, seasonal peak reduction, cost effective energy savings, lowering the cost of electricity, reduction in emission of green house gases , reducing the need for investment in network and or power plants thus saving the precious and exhaustible fossil fuels etc.</w:t>
      </w:r>
    </w:p>
    <w:p w:rsidR="00D84D4B" w:rsidRDefault="00D84D4B" w:rsidP="004276A0">
      <w:pPr>
        <w:spacing w:line="360" w:lineRule="auto"/>
        <w:jc w:val="both"/>
        <w:rPr>
          <w:rFonts w:ascii="Arial" w:hAnsi="Arial" w:cs="Arial"/>
          <w:sz w:val="22"/>
          <w:szCs w:val="22"/>
        </w:rPr>
      </w:pPr>
    </w:p>
    <w:p w:rsidR="004276A0" w:rsidRPr="00D84D4B" w:rsidRDefault="004276A0" w:rsidP="004276A0">
      <w:pPr>
        <w:spacing w:line="360" w:lineRule="auto"/>
        <w:jc w:val="both"/>
        <w:rPr>
          <w:rFonts w:ascii="Arial" w:hAnsi="Arial" w:cs="Arial"/>
          <w:sz w:val="22"/>
          <w:szCs w:val="22"/>
        </w:rPr>
      </w:pPr>
      <w:r w:rsidRPr="00D84D4B">
        <w:rPr>
          <w:rFonts w:ascii="Arial" w:hAnsi="Arial" w:cs="Arial"/>
          <w:sz w:val="22"/>
          <w:szCs w:val="22"/>
        </w:rPr>
        <w:t xml:space="preserve">As per above regulation Every Distribution Licensee shall, constitute DSM cell within one month of publication of above regulations in the official Gazette and shall submit to the </w:t>
      </w:r>
      <w:r w:rsidR="001D4339">
        <w:rPr>
          <w:rFonts w:ascii="Arial" w:hAnsi="Arial" w:cs="Arial"/>
          <w:sz w:val="22"/>
          <w:szCs w:val="22"/>
        </w:rPr>
        <w:t>C</w:t>
      </w:r>
      <w:r w:rsidRPr="00D84D4B">
        <w:rPr>
          <w:rFonts w:ascii="Arial" w:hAnsi="Arial" w:cs="Arial"/>
          <w:sz w:val="22"/>
          <w:szCs w:val="22"/>
        </w:rPr>
        <w:t>ommission .</w:t>
      </w:r>
    </w:p>
    <w:p w:rsidR="00D84D4B" w:rsidRDefault="00D84D4B" w:rsidP="004276A0">
      <w:pPr>
        <w:spacing w:line="360" w:lineRule="auto"/>
        <w:jc w:val="both"/>
        <w:rPr>
          <w:rFonts w:ascii="Arial" w:hAnsi="Arial" w:cs="Arial"/>
          <w:sz w:val="22"/>
          <w:szCs w:val="22"/>
        </w:rPr>
      </w:pPr>
    </w:p>
    <w:p w:rsidR="004276A0" w:rsidRPr="00D84D4B" w:rsidRDefault="004276A0" w:rsidP="004276A0">
      <w:pPr>
        <w:spacing w:line="360" w:lineRule="auto"/>
        <w:jc w:val="both"/>
        <w:rPr>
          <w:rFonts w:ascii="Arial" w:hAnsi="Arial" w:cs="Arial"/>
          <w:sz w:val="22"/>
          <w:szCs w:val="22"/>
        </w:rPr>
      </w:pPr>
      <w:r w:rsidRPr="00D84D4B">
        <w:rPr>
          <w:rFonts w:ascii="Arial" w:hAnsi="Arial" w:cs="Arial"/>
          <w:sz w:val="22"/>
          <w:szCs w:val="22"/>
        </w:rPr>
        <w:t>As per regulation the DSM Cell shall be responsible for:</w:t>
      </w:r>
    </w:p>
    <w:p w:rsidR="004276A0" w:rsidRPr="00D84D4B" w:rsidRDefault="001D4339" w:rsidP="00B04A3F">
      <w:pPr>
        <w:pStyle w:val="ListParagraph"/>
        <w:numPr>
          <w:ilvl w:val="0"/>
          <w:numId w:val="16"/>
        </w:numPr>
        <w:spacing w:line="360" w:lineRule="auto"/>
        <w:jc w:val="both"/>
        <w:rPr>
          <w:rFonts w:ascii="Arial" w:hAnsi="Arial" w:cs="Arial"/>
        </w:rPr>
      </w:pPr>
      <w:r>
        <w:rPr>
          <w:rFonts w:ascii="Arial" w:hAnsi="Arial" w:cs="Arial"/>
        </w:rPr>
        <w:t xml:space="preserve">Load </w:t>
      </w:r>
      <w:r w:rsidR="004276A0" w:rsidRPr="00D84D4B">
        <w:rPr>
          <w:rFonts w:ascii="Arial" w:hAnsi="Arial" w:cs="Arial"/>
        </w:rPr>
        <w:t xml:space="preserve">research and development of base line data. </w:t>
      </w:r>
    </w:p>
    <w:p w:rsidR="004276A0" w:rsidRPr="00D84D4B" w:rsidRDefault="004276A0" w:rsidP="00B04A3F">
      <w:pPr>
        <w:pStyle w:val="ListParagraph"/>
        <w:numPr>
          <w:ilvl w:val="0"/>
          <w:numId w:val="16"/>
        </w:numPr>
        <w:spacing w:line="360" w:lineRule="auto"/>
        <w:jc w:val="both"/>
        <w:rPr>
          <w:rFonts w:ascii="Arial" w:hAnsi="Arial" w:cs="Arial"/>
        </w:rPr>
      </w:pPr>
      <w:r w:rsidRPr="00D84D4B">
        <w:rPr>
          <w:rFonts w:ascii="Arial" w:hAnsi="Arial" w:cs="Arial"/>
        </w:rPr>
        <w:t xml:space="preserve">Formulation of DSM Plan. </w:t>
      </w:r>
    </w:p>
    <w:p w:rsidR="004276A0" w:rsidRPr="00D84D4B" w:rsidRDefault="004276A0" w:rsidP="00B04A3F">
      <w:pPr>
        <w:pStyle w:val="ListParagraph"/>
        <w:numPr>
          <w:ilvl w:val="0"/>
          <w:numId w:val="16"/>
        </w:numPr>
        <w:spacing w:line="360" w:lineRule="auto"/>
        <w:jc w:val="both"/>
        <w:rPr>
          <w:rFonts w:ascii="Arial" w:hAnsi="Arial" w:cs="Arial"/>
        </w:rPr>
      </w:pPr>
      <w:r w:rsidRPr="00D84D4B">
        <w:rPr>
          <w:rFonts w:ascii="Arial" w:hAnsi="Arial" w:cs="Arial"/>
        </w:rPr>
        <w:t xml:space="preserve">Design and development of DSM project including cost benefit Analysis,  plan for implementation, monitoring &amp; reporting and measurement &amp; verification </w:t>
      </w:r>
    </w:p>
    <w:p w:rsidR="004276A0" w:rsidRPr="00D84D4B" w:rsidRDefault="004276A0" w:rsidP="00B04A3F">
      <w:pPr>
        <w:pStyle w:val="ListParagraph"/>
        <w:numPr>
          <w:ilvl w:val="0"/>
          <w:numId w:val="16"/>
        </w:numPr>
        <w:spacing w:line="360" w:lineRule="auto"/>
        <w:jc w:val="both"/>
        <w:rPr>
          <w:rFonts w:ascii="Arial" w:hAnsi="Arial" w:cs="Arial"/>
        </w:rPr>
      </w:pPr>
      <w:r w:rsidRPr="00D84D4B">
        <w:rPr>
          <w:rFonts w:ascii="Arial" w:hAnsi="Arial" w:cs="Arial"/>
        </w:rPr>
        <w:t xml:space="preserve">Seeking necessary approval to DSM plan and individual programmes. </w:t>
      </w:r>
    </w:p>
    <w:p w:rsidR="004276A0" w:rsidRPr="00D84D4B" w:rsidRDefault="004276A0" w:rsidP="00B04A3F">
      <w:pPr>
        <w:pStyle w:val="ListParagraph"/>
        <w:numPr>
          <w:ilvl w:val="0"/>
          <w:numId w:val="16"/>
        </w:numPr>
        <w:spacing w:line="360" w:lineRule="auto"/>
        <w:jc w:val="both"/>
        <w:rPr>
          <w:rFonts w:ascii="Arial" w:hAnsi="Arial" w:cs="Arial"/>
        </w:rPr>
      </w:pPr>
      <w:r w:rsidRPr="00D84D4B">
        <w:rPr>
          <w:rFonts w:ascii="Arial" w:hAnsi="Arial" w:cs="Arial"/>
        </w:rPr>
        <w:t>Implementation of DSM Programme.Any other additional function that may be assigned by the Commission from time to time .</w:t>
      </w:r>
    </w:p>
    <w:p w:rsidR="009131AE" w:rsidRPr="00D84D4B" w:rsidRDefault="009131AE" w:rsidP="004276A0">
      <w:pPr>
        <w:spacing w:line="360" w:lineRule="auto"/>
        <w:jc w:val="both"/>
        <w:rPr>
          <w:rFonts w:ascii="Arial" w:hAnsi="Arial" w:cs="Arial"/>
          <w:sz w:val="22"/>
          <w:szCs w:val="22"/>
        </w:rPr>
      </w:pPr>
      <w:r w:rsidRPr="00D84D4B">
        <w:rPr>
          <w:rFonts w:ascii="Arial" w:hAnsi="Arial" w:cs="Arial"/>
          <w:sz w:val="22"/>
          <w:szCs w:val="22"/>
        </w:rPr>
        <w:t>The Energy Efficiency Services Ltd, a joint venture company of PSUs of Ministry of Power, Govt of India had submitted a project report on the formulation and implementation of Demand Side Management Plan for Orissa .</w:t>
      </w:r>
    </w:p>
    <w:p w:rsidR="00D84D4B" w:rsidRDefault="00D84D4B" w:rsidP="004276A0">
      <w:pPr>
        <w:spacing w:line="360" w:lineRule="auto"/>
        <w:jc w:val="both"/>
        <w:rPr>
          <w:rFonts w:ascii="Arial" w:hAnsi="Arial" w:cs="Arial"/>
          <w:sz w:val="22"/>
          <w:szCs w:val="22"/>
        </w:rPr>
      </w:pPr>
    </w:p>
    <w:p w:rsidR="004276A0" w:rsidRPr="00D84D4B" w:rsidRDefault="009131AE" w:rsidP="004276A0">
      <w:pPr>
        <w:spacing w:line="360" w:lineRule="auto"/>
        <w:jc w:val="both"/>
        <w:rPr>
          <w:rFonts w:ascii="Arial" w:hAnsi="Arial" w:cs="Arial"/>
          <w:sz w:val="22"/>
          <w:szCs w:val="22"/>
        </w:rPr>
      </w:pPr>
      <w:r w:rsidRPr="00D84D4B">
        <w:rPr>
          <w:rFonts w:ascii="Arial" w:hAnsi="Arial" w:cs="Arial"/>
          <w:sz w:val="22"/>
          <w:szCs w:val="22"/>
        </w:rPr>
        <w:t xml:space="preserve">The </w:t>
      </w:r>
      <w:r w:rsidR="004276A0" w:rsidRPr="00D84D4B">
        <w:rPr>
          <w:rFonts w:ascii="Arial" w:hAnsi="Arial" w:cs="Arial"/>
          <w:sz w:val="22"/>
          <w:szCs w:val="22"/>
        </w:rPr>
        <w:t>licensee has opened a DSM cell which is planning for carrying out a assessment of Potential and Cost benefit analysis for DSM in the licensee area by engaging a outsourced experienced Agency through proper bidding process .</w:t>
      </w:r>
    </w:p>
    <w:p w:rsidR="00D84D4B" w:rsidRDefault="00D84D4B" w:rsidP="004276A0">
      <w:pPr>
        <w:spacing w:line="360" w:lineRule="auto"/>
        <w:jc w:val="both"/>
        <w:rPr>
          <w:rFonts w:ascii="Arial" w:hAnsi="Arial" w:cs="Arial"/>
          <w:sz w:val="22"/>
          <w:szCs w:val="22"/>
        </w:rPr>
      </w:pPr>
    </w:p>
    <w:p w:rsidR="004276A0" w:rsidRPr="00D84D4B" w:rsidRDefault="004276A0" w:rsidP="004276A0">
      <w:pPr>
        <w:spacing w:line="360" w:lineRule="auto"/>
        <w:jc w:val="both"/>
        <w:rPr>
          <w:rFonts w:ascii="Arial" w:hAnsi="Arial" w:cs="Arial"/>
          <w:sz w:val="22"/>
          <w:szCs w:val="22"/>
        </w:rPr>
      </w:pPr>
      <w:r w:rsidRPr="00D84D4B">
        <w:rPr>
          <w:rFonts w:ascii="Arial" w:hAnsi="Arial" w:cs="Arial"/>
          <w:sz w:val="22"/>
          <w:szCs w:val="22"/>
        </w:rPr>
        <w:t xml:space="preserve">The Yearly Operational expenditure required for DSM activities are as under  </w:t>
      </w:r>
    </w:p>
    <w:p w:rsidR="004276A0" w:rsidRPr="00D84D4B" w:rsidRDefault="004276A0" w:rsidP="004276A0">
      <w:pPr>
        <w:autoSpaceDE w:val="0"/>
        <w:autoSpaceDN w:val="0"/>
        <w:adjustRightInd w:val="0"/>
        <w:spacing w:line="360" w:lineRule="auto"/>
        <w:ind w:left="720" w:firstLine="720"/>
        <w:jc w:val="both"/>
        <w:rPr>
          <w:rFonts w:ascii="Arial" w:hAnsi="Arial" w:cs="Arial"/>
          <w:sz w:val="22"/>
          <w:szCs w:val="22"/>
        </w:rPr>
      </w:pPr>
    </w:p>
    <w:tbl>
      <w:tblPr>
        <w:tblpPr w:leftFromText="180" w:rightFromText="180" w:vertAnchor="text" w:horzAnchor="margin" w:tblpY="1"/>
        <w:tblOverlap w:val="neve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68"/>
        <w:gridCol w:w="1080"/>
        <w:gridCol w:w="900"/>
      </w:tblGrid>
      <w:tr w:rsidR="004276A0" w:rsidRPr="00D84D4B" w:rsidTr="000334F1">
        <w:tc>
          <w:tcPr>
            <w:tcW w:w="6768" w:type="dxa"/>
          </w:tcPr>
          <w:p w:rsidR="004276A0" w:rsidRPr="00D84D4B" w:rsidRDefault="004276A0" w:rsidP="000334F1">
            <w:pPr>
              <w:pStyle w:val="NoSpacing"/>
              <w:rPr>
                <w:rFonts w:ascii="Arial" w:hAnsi="Arial" w:cs="Arial"/>
              </w:rPr>
            </w:pPr>
            <w:r w:rsidRPr="00D84D4B">
              <w:rPr>
                <w:rFonts w:ascii="Arial" w:hAnsi="Arial" w:cs="Arial"/>
              </w:rPr>
              <w:t xml:space="preserve">Item </w:t>
            </w:r>
          </w:p>
        </w:tc>
        <w:tc>
          <w:tcPr>
            <w:tcW w:w="1080" w:type="dxa"/>
          </w:tcPr>
          <w:p w:rsidR="004276A0" w:rsidRPr="00D84D4B" w:rsidRDefault="004276A0" w:rsidP="000334F1">
            <w:pPr>
              <w:pStyle w:val="NoSpacing"/>
              <w:rPr>
                <w:rFonts w:ascii="Arial" w:hAnsi="Arial" w:cs="Arial"/>
              </w:rPr>
            </w:pPr>
            <w:r w:rsidRPr="00D84D4B">
              <w:rPr>
                <w:rFonts w:ascii="Arial" w:hAnsi="Arial" w:cs="Arial"/>
              </w:rPr>
              <w:t>Unit</w:t>
            </w:r>
          </w:p>
        </w:tc>
        <w:tc>
          <w:tcPr>
            <w:tcW w:w="900" w:type="dxa"/>
          </w:tcPr>
          <w:p w:rsidR="004276A0" w:rsidRPr="00D84D4B" w:rsidRDefault="004276A0" w:rsidP="000334F1">
            <w:pPr>
              <w:pStyle w:val="NoSpacing"/>
              <w:rPr>
                <w:rFonts w:ascii="Arial" w:hAnsi="Arial" w:cs="Arial"/>
              </w:rPr>
            </w:pPr>
            <w:r w:rsidRPr="00D84D4B">
              <w:rPr>
                <w:rFonts w:ascii="Arial" w:hAnsi="Arial" w:cs="Arial"/>
              </w:rPr>
              <w:t xml:space="preserve">Rs.crs </w:t>
            </w:r>
          </w:p>
        </w:tc>
      </w:tr>
      <w:tr w:rsidR="004276A0" w:rsidRPr="00D84D4B" w:rsidTr="000334F1">
        <w:tc>
          <w:tcPr>
            <w:tcW w:w="6768" w:type="dxa"/>
          </w:tcPr>
          <w:p w:rsidR="004276A0" w:rsidRPr="00D84D4B" w:rsidRDefault="004276A0" w:rsidP="000334F1">
            <w:pPr>
              <w:pStyle w:val="NoSpacing"/>
              <w:rPr>
                <w:rFonts w:ascii="Arial" w:hAnsi="Arial" w:cs="Arial"/>
              </w:rPr>
            </w:pPr>
            <w:r w:rsidRPr="00D84D4B">
              <w:rPr>
                <w:rFonts w:ascii="Arial" w:hAnsi="Arial" w:cs="Arial"/>
              </w:rPr>
              <w:t>Appointment of Agency for Load Research.  During 2015-16</w:t>
            </w:r>
          </w:p>
        </w:tc>
        <w:tc>
          <w:tcPr>
            <w:tcW w:w="1080" w:type="dxa"/>
          </w:tcPr>
          <w:p w:rsidR="004276A0" w:rsidRPr="00D84D4B" w:rsidRDefault="004276A0" w:rsidP="000334F1">
            <w:pPr>
              <w:pStyle w:val="NoSpacing"/>
              <w:rPr>
                <w:rFonts w:ascii="Arial" w:hAnsi="Arial" w:cs="Arial"/>
              </w:rPr>
            </w:pPr>
            <w:r w:rsidRPr="00D84D4B">
              <w:rPr>
                <w:rFonts w:ascii="Arial" w:hAnsi="Arial" w:cs="Arial"/>
              </w:rPr>
              <w:t>LS</w:t>
            </w:r>
          </w:p>
        </w:tc>
        <w:tc>
          <w:tcPr>
            <w:tcW w:w="900" w:type="dxa"/>
          </w:tcPr>
          <w:p w:rsidR="004276A0" w:rsidRPr="00D84D4B" w:rsidRDefault="004276A0" w:rsidP="000334F1">
            <w:pPr>
              <w:pStyle w:val="NoSpacing"/>
              <w:rPr>
                <w:rFonts w:ascii="Arial" w:hAnsi="Arial" w:cs="Arial"/>
              </w:rPr>
            </w:pPr>
            <w:r w:rsidRPr="00D84D4B">
              <w:rPr>
                <w:rFonts w:ascii="Arial" w:hAnsi="Arial" w:cs="Arial"/>
              </w:rPr>
              <w:t>1.00</w:t>
            </w:r>
          </w:p>
        </w:tc>
      </w:tr>
      <w:tr w:rsidR="004276A0" w:rsidRPr="00D84D4B" w:rsidTr="000334F1">
        <w:tc>
          <w:tcPr>
            <w:tcW w:w="6768" w:type="dxa"/>
          </w:tcPr>
          <w:p w:rsidR="004276A0" w:rsidRPr="00D84D4B" w:rsidRDefault="004276A0" w:rsidP="000334F1">
            <w:pPr>
              <w:pStyle w:val="NoSpacing"/>
              <w:rPr>
                <w:rFonts w:ascii="Arial" w:hAnsi="Arial" w:cs="Arial"/>
              </w:rPr>
            </w:pPr>
            <w:r w:rsidRPr="00D84D4B">
              <w:rPr>
                <w:rFonts w:ascii="Arial" w:hAnsi="Arial" w:cs="Arial"/>
              </w:rPr>
              <w:t xml:space="preserve">Information Campaign ,Media Publications and Education Programmes Yearly requirement. </w:t>
            </w:r>
          </w:p>
        </w:tc>
        <w:tc>
          <w:tcPr>
            <w:tcW w:w="1080" w:type="dxa"/>
          </w:tcPr>
          <w:p w:rsidR="004276A0" w:rsidRPr="00D84D4B" w:rsidRDefault="004276A0" w:rsidP="000334F1">
            <w:pPr>
              <w:pStyle w:val="NoSpacing"/>
              <w:rPr>
                <w:rFonts w:ascii="Arial" w:hAnsi="Arial" w:cs="Arial"/>
              </w:rPr>
            </w:pPr>
            <w:r w:rsidRPr="00D84D4B">
              <w:rPr>
                <w:rFonts w:ascii="Arial" w:hAnsi="Arial" w:cs="Arial"/>
              </w:rPr>
              <w:t>LS</w:t>
            </w:r>
          </w:p>
        </w:tc>
        <w:tc>
          <w:tcPr>
            <w:tcW w:w="900" w:type="dxa"/>
          </w:tcPr>
          <w:p w:rsidR="004276A0" w:rsidRPr="00D84D4B" w:rsidRDefault="004276A0" w:rsidP="000334F1">
            <w:pPr>
              <w:pStyle w:val="NoSpacing"/>
              <w:rPr>
                <w:rFonts w:ascii="Arial" w:hAnsi="Arial" w:cs="Arial"/>
              </w:rPr>
            </w:pPr>
            <w:r w:rsidRPr="00D84D4B">
              <w:rPr>
                <w:rFonts w:ascii="Arial" w:hAnsi="Arial" w:cs="Arial"/>
              </w:rPr>
              <w:t>0.20</w:t>
            </w:r>
          </w:p>
        </w:tc>
      </w:tr>
      <w:tr w:rsidR="004276A0" w:rsidRPr="00D84D4B" w:rsidTr="000334F1">
        <w:tc>
          <w:tcPr>
            <w:tcW w:w="6768" w:type="dxa"/>
          </w:tcPr>
          <w:p w:rsidR="004276A0" w:rsidRPr="00D84D4B" w:rsidRDefault="004276A0" w:rsidP="000334F1">
            <w:pPr>
              <w:pStyle w:val="NoSpacing"/>
              <w:rPr>
                <w:rFonts w:ascii="Arial" w:hAnsi="Arial" w:cs="Arial"/>
              </w:rPr>
            </w:pPr>
            <w:r w:rsidRPr="00D84D4B">
              <w:rPr>
                <w:rFonts w:ascii="Arial" w:hAnsi="Arial" w:cs="Arial"/>
              </w:rPr>
              <w:t xml:space="preserve">Total </w:t>
            </w:r>
          </w:p>
        </w:tc>
        <w:tc>
          <w:tcPr>
            <w:tcW w:w="1080" w:type="dxa"/>
          </w:tcPr>
          <w:p w:rsidR="004276A0" w:rsidRPr="00D84D4B" w:rsidRDefault="004276A0" w:rsidP="000334F1">
            <w:pPr>
              <w:pStyle w:val="NoSpacing"/>
              <w:rPr>
                <w:rFonts w:ascii="Arial" w:hAnsi="Arial" w:cs="Arial"/>
              </w:rPr>
            </w:pPr>
          </w:p>
        </w:tc>
        <w:tc>
          <w:tcPr>
            <w:tcW w:w="900" w:type="dxa"/>
          </w:tcPr>
          <w:p w:rsidR="004276A0" w:rsidRPr="00D84D4B" w:rsidRDefault="004276A0" w:rsidP="000334F1">
            <w:pPr>
              <w:pStyle w:val="NoSpacing"/>
              <w:rPr>
                <w:rFonts w:ascii="Arial" w:hAnsi="Arial" w:cs="Arial"/>
              </w:rPr>
            </w:pPr>
            <w:r w:rsidRPr="00D84D4B">
              <w:rPr>
                <w:rFonts w:ascii="Arial" w:hAnsi="Arial" w:cs="Arial"/>
              </w:rPr>
              <w:t>1.20</w:t>
            </w:r>
          </w:p>
        </w:tc>
      </w:tr>
    </w:tbl>
    <w:p w:rsidR="004276A0" w:rsidRPr="00D84D4B" w:rsidRDefault="004276A0" w:rsidP="004276A0">
      <w:pPr>
        <w:pStyle w:val="ListParagraph"/>
        <w:autoSpaceDE w:val="0"/>
        <w:autoSpaceDN w:val="0"/>
        <w:adjustRightInd w:val="0"/>
        <w:spacing w:line="360" w:lineRule="auto"/>
        <w:ind w:left="762"/>
        <w:jc w:val="both"/>
        <w:rPr>
          <w:rFonts w:ascii="Arial" w:hAnsi="Arial" w:cs="Arial"/>
          <w:u w:val="single"/>
        </w:rPr>
      </w:pPr>
    </w:p>
    <w:p w:rsidR="004276A0" w:rsidRPr="00D84D4B" w:rsidRDefault="004276A0" w:rsidP="004276A0">
      <w:pPr>
        <w:pStyle w:val="ListParagraph"/>
        <w:autoSpaceDE w:val="0"/>
        <w:autoSpaceDN w:val="0"/>
        <w:adjustRightInd w:val="0"/>
        <w:spacing w:line="360" w:lineRule="auto"/>
        <w:ind w:left="762"/>
        <w:jc w:val="both"/>
        <w:rPr>
          <w:rFonts w:ascii="Arial" w:hAnsi="Arial" w:cs="Arial"/>
          <w:u w:val="single"/>
        </w:rPr>
      </w:pPr>
    </w:p>
    <w:p w:rsidR="004276A0" w:rsidRPr="00D84D4B" w:rsidRDefault="004276A0" w:rsidP="004276A0">
      <w:pPr>
        <w:pStyle w:val="ListParagraph"/>
        <w:autoSpaceDE w:val="0"/>
        <w:autoSpaceDN w:val="0"/>
        <w:adjustRightInd w:val="0"/>
        <w:spacing w:line="360" w:lineRule="auto"/>
        <w:ind w:left="762"/>
        <w:jc w:val="both"/>
        <w:rPr>
          <w:rFonts w:ascii="Arial" w:hAnsi="Arial" w:cs="Arial"/>
          <w:u w:val="single"/>
        </w:rPr>
      </w:pPr>
    </w:p>
    <w:p w:rsidR="004276A0" w:rsidRPr="00D84D4B" w:rsidRDefault="004276A0" w:rsidP="004276A0">
      <w:pPr>
        <w:spacing w:line="360" w:lineRule="auto"/>
        <w:jc w:val="both"/>
        <w:rPr>
          <w:rFonts w:ascii="Arial" w:hAnsi="Arial" w:cs="Arial"/>
          <w:sz w:val="22"/>
          <w:szCs w:val="22"/>
        </w:rPr>
      </w:pPr>
    </w:p>
    <w:p w:rsidR="004276A0" w:rsidRPr="00D84D4B" w:rsidRDefault="004276A0" w:rsidP="004276A0">
      <w:pPr>
        <w:spacing w:line="360" w:lineRule="auto"/>
        <w:jc w:val="both"/>
        <w:rPr>
          <w:rFonts w:ascii="Arial" w:hAnsi="Arial" w:cs="Arial"/>
          <w:sz w:val="22"/>
          <w:szCs w:val="22"/>
        </w:rPr>
      </w:pPr>
    </w:p>
    <w:p w:rsidR="004276A0" w:rsidRPr="00D84D4B" w:rsidRDefault="004276A0" w:rsidP="004276A0">
      <w:pPr>
        <w:spacing w:line="360" w:lineRule="auto"/>
        <w:jc w:val="both"/>
        <w:rPr>
          <w:rFonts w:ascii="Arial" w:hAnsi="Arial" w:cs="Arial"/>
          <w:sz w:val="22"/>
          <w:szCs w:val="22"/>
        </w:rPr>
      </w:pPr>
      <w:r w:rsidRPr="00D84D4B">
        <w:rPr>
          <w:rFonts w:ascii="Arial" w:hAnsi="Arial" w:cs="Arial"/>
          <w:sz w:val="22"/>
          <w:szCs w:val="22"/>
        </w:rPr>
        <w:t>The Licensee humbly submit  that the expenses of Rs1.2 Crore towards DSM expenses be allowed in the ARR of the ensuing year.</w:t>
      </w:r>
    </w:p>
    <w:p w:rsidR="004276A0" w:rsidRPr="00D84D4B" w:rsidRDefault="004276A0" w:rsidP="000334F1">
      <w:pPr>
        <w:pStyle w:val="Heading1"/>
        <w:numPr>
          <w:ilvl w:val="2"/>
          <w:numId w:val="1"/>
        </w:numPr>
        <w:spacing w:line="360" w:lineRule="auto"/>
        <w:jc w:val="both"/>
        <w:rPr>
          <w:sz w:val="22"/>
          <w:szCs w:val="22"/>
        </w:rPr>
      </w:pPr>
      <w:bookmarkStart w:id="16" w:name="_Toc404940142"/>
      <w:r w:rsidRPr="00D84D4B">
        <w:rPr>
          <w:sz w:val="22"/>
          <w:szCs w:val="22"/>
        </w:rPr>
        <w:t>Implementation of Cloud based module and ERP:</w:t>
      </w:r>
      <w:bookmarkEnd w:id="16"/>
    </w:p>
    <w:p w:rsidR="00041054" w:rsidRPr="00D84D4B" w:rsidRDefault="00041054" w:rsidP="00D84D4B">
      <w:pPr>
        <w:spacing w:line="360" w:lineRule="auto"/>
        <w:jc w:val="both"/>
        <w:rPr>
          <w:rFonts w:ascii="Arial" w:hAnsi="Arial" w:cs="Arial"/>
          <w:sz w:val="22"/>
          <w:szCs w:val="22"/>
        </w:rPr>
      </w:pPr>
      <w:r w:rsidRPr="00D84D4B">
        <w:rPr>
          <w:rFonts w:ascii="Arial" w:hAnsi="Arial" w:cs="Arial"/>
          <w:sz w:val="22"/>
          <w:szCs w:val="22"/>
        </w:rPr>
        <w:t>There is a pressing need to augment the existing business and commercial processes in the three distribution companies. This can be done by unleashing the power of information technology (IT). The following initiatives are planned with IT being an enabler:</w:t>
      </w:r>
    </w:p>
    <w:p w:rsidR="00041054" w:rsidRPr="00D84D4B" w:rsidRDefault="00041054" w:rsidP="00CF66A5">
      <w:pPr>
        <w:pStyle w:val="ListParagraph"/>
        <w:numPr>
          <w:ilvl w:val="0"/>
          <w:numId w:val="32"/>
        </w:numPr>
        <w:spacing w:after="120" w:line="240" w:lineRule="auto"/>
        <w:contextualSpacing w:val="0"/>
        <w:jc w:val="both"/>
        <w:rPr>
          <w:rFonts w:ascii="Arial" w:eastAsia="Times New Roman" w:hAnsi="Arial" w:cs="Arial"/>
          <w:color w:val="000000"/>
        </w:rPr>
      </w:pPr>
      <w:r w:rsidRPr="00D84D4B">
        <w:rPr>
          <w:rFonts w:ascii="Arial" w:eastAsia="Times New Roman" w:hAnsi="Arial" w:cs="Arial"/>
          <w:color w:val="000000"/>
        </w:rPr>
        <w:t>Mobile phone- based spot billing.</w:t>
      </w:r>
    </w:p>
    <w:p w:rsidR="00041054" w:rsidRPr="00D84D4B" w:rsidRDefault="00041054" w:rsidP="00CF66A5">
      <w:pPr>
        <w:pStyle w:val="ListParagraph"/>
        <w:numPr>
          <w:ilvl w:val="0"/>
          <w:numId w:val="32"/>
        </w:numPr>
        <w:spacing w:after="120" w:line="240" w:lineRule="auto"/>
        <w:contextualSpacing w:val="0"/>
        <w:jc w:val="both"/>
        <w:rPr>
          <w:rFonts w:ascii="Arial" w:eastAsia="Times New Roman" w:hAnsi="Arial" w:cs="Arial"/>
          <w:color w:val="000000"/>
        </w:rPr>
      </w:pPr>
      <w:r w:rsidRPr="00D84D4B">
        <w:rPr>
          <w:rFonts w:ascii="Arial" w:eastAsia="Times New Roman" w:hAnsi="Arial" w:cs="Arial"/>
          <w:color w:val="000000"/>
        </w:rPr>
        <w:t>Establishment of a wide area network (WAN) using multi protocol label switching for virtual private networks (MPLS- VPN).</w:t>
      </w:r>
    </w:p>
    <w:p w:rsidR="00041054" w:rsidRPr="00D84D4B" w:rsidRDefault="00041054" w:rsidP="00CF66A5">
      <w:pPr>
        <w:pStyle w:val="ListParagraph"/>
        <w:numPr>
          <w:ilvl w:val="0"/>
          <w:numId w:val="32"/>
        </w:numPr>
        <w:spacing w:after="120" w:line="240" w:lineRule="auto"/>
        <w:contextualSpacing w:val="0"/>
        <w:jc w:val="both"/>
        <w:rPr>
          <w:rFonts w:ascii="Arial" w:eastAsia="Times New Roman" w:hAnsi="Arial" w:cs="Arial"/>
          <w:color w:val="000000"/>
        </w:rPr>
      </w:pPr>
      <w:r w:rsidRPr="00D84D4B">
        <w:rPr>
          <w:rFonts w:ascii="Arial" w:eastAsia="Times New Roman" w:hAnsi="Arial" w:cs="Arial"/>
          <w:color w:val="000000"/>
        </w:rPr>
        <w:t>Virualisation of existing energy billing system on a Linux- Oracle platform</w:t>
      </w:r>
    </w:p>
    <w:p w:rsidR="00041054" w:rsidRPr="00D84D4B" w:rsidRDefault="00041054" w:rsidP="00CF66A5">
      <w:pPr>
        <w:pStyle w:val="ListParagraph"/>
        <w:numPr>
          <w:ilvl w:val="0"/>
          <w:numId w:val="32"/>
        </w:numPr>
        <w:spacing w:after="120" w:line="240" w:lineRule="auto"/>
        <w:contextualSpacing w:val="0"/>
        <w:jc w:val="both"/>
        <w:rPr>
          <w:rFonts w:ascii="Arial" w:eastAsia="Times New Roman" w:hAnsi="Arial" w:cs="Arial"/>
          <w:color w:val="000000"/>
        </w:rPr>
      </w:pPr>
      <w:r w:rsidRPr="00D84D4B">
        <w:rPr>
          <w:rFonts w:ascii="Arial" w:eastAsia="Times New Roman" w:hAnsi="Arial" w:cs="Arial"/>
          <w:color w:val="000000"/>
        </w:rPr>
        <w:t>Migration of existing stand- alone and dedicated infrastructure and applications to a public/ private cloud using concepts such as:</w:t>
      </w:r>
    </w:p>
    <w:p w:rsidR="00041054" w:rsidRPr="00D84D4B" w:rsidRDefault="00041054" w:rsidP="00CF66A5">
      <w:pPr>
        <w:pStyle w:val="ListParagraph"/>
        <w:numPr>
          <w:ilvl w:val="1"/>
          <w:numId w:val="32"/>
        </w:numPr>
        <w:spacing w:after="120" w:line="240" w:lineRule="auto"/>
        <w:jc w:val="both"/>
        <w:rPr>
          <w:rFonts w:ascii="Arial" w:eastAsia="Times New Roman" w:hAnsi="Arial" w:cs="Arial"/>
          <w:color w:val="000000"/>
        </w:rPr>
      </w:pPr>
      <w:r w:rsidRPr="00D84D4B">
        <w:rPr>
          <w:rFonts w:ascii="Arial" w:eastAsia="Times New Roman" w:hAnsi="Arial" w:cs="Arial"/>
          <w:color w:val="000000"/>
        </w:rPr>
        <w:t>Infrastructure as a Service (IaaS) for data centres (DCs) and disaster recovery centres (DRCs)</w:t>
      </w:r>
    </w:p>
    <w:p w:rsidR="00041054" w:rsidRPr="00D84D4B" w:rsidRDefault="00041054" w:rsidP="00CF66A5">
      <w:pPr>
        <w:pStyle w:val="ListParagraph"/>
        <w:numPr>
          <w:ilvl w:val="1"/>
          <w:numId w:val="32"/>
        </w:numPr>
        <w:spacing w:after="120" w:line="240" w:lineRule="auto"/>
        <w:jc w:val="both"/>
        <w:rPr>
          <w:rFonts w:ascii="Arial" w:eastAsia="Times New Roman" w:hAnsi="Arial" w:cs="Arial"/>
          <w:color w:val="000000"/>
        </w:rPr>
      </w:pPr>
      <w:r w:rsidRPr="00D84D4B">
        <w:rPr>
          <w:rFonts w:ascii="Arial" w:eastAsia="Times New Roman" w:hAnsi="Arial" w:cs="Arial"/>
          <w:color w:val="000000"/>
        </w:rPr>
        <w:t>Platform as a Service (PaaS) for new application development and deployment</w:t>
      </w:r>
    </w:p>
    <w:p w:rsidR="00041054" w:rsidRPr="00D84D4B" w:rsidRDefault="00041054" w:rsidP="00CF66A5">
      <w:pPr>
        <w:pStyle w:val="ListParagraph"/>
        <w:numPr>
          <w:ilvl w:val="1"/>
          <w:numId w:val="32"/>
        </w:numPr>
        <w:spacing w:after="120" w:line="240" w:lineRule="auto"/>
        <w:contextualSpacing w:val="0"/>
        <w:jc w:val="both"/>
        <w:rPr>
          <w:rFonts w:ascii="Arial" w:eastAsia="Times New Roman" w:hAnsi="Arial" w:cs="Arial"/>
          <w:color w:val="000000"/>
        </w:rPr>
      </w:pPr>
      <w:r w:rsidRPr="00D84D4B">
        <w:rPr>
          <w:rFonts w:ascii="Arial" w:eastAsia="Times New Roman" w:hAnsi="Arial" w:cs="Arial"/>
          <w:color w:val="000000"/>
        </w:rPr>
        <w:t xml:space="preserve">Software as a Service (SaaS) for office productivity tools such as spreadsheets, document processing, presentations, etc. </w:t>
      </w:r>
    </w:p>
    <w:p w:rsidR="00041054" w:rsidRPr="00D84D4B" w:rsidRDefault="00041054" w:rsidP="00CF66A5">
      <w:pPr>
        <w:pStyle w:val="ListParagraph"/>
        <w:numPr>
          <w:ilvl w:val="0"/>
          <w:numId w:val="32"/>
        </w:numPr>
        <w:spacing w:after="120" w:line="240" w:lineRule="auto"/>
        <w:contextualSpacing w:val="0"/>
        <w:jc w:val="both"/>
        <w:rPr>
          <w:rFonts w:ascii="Arial" w:eastAsia="Times New Roman" w:hAnsi="Arial" w:cs="Arial"/>
          <w:color w:val="000000"/>
        </w:rPr>
      </w:pPr>
      <w:r w:rsidRPr="00D84D4B">
        <w:rPr>
          <w:rFonts w:ascii="Arial" w:eastAsia="Times New Roman" w:hAnsi="Arial" w:cs="Arial"/>
          <w:color w:val="000000"/>
        </w:rPr>
        <w:t>Implementation of enterprise resource planning (ERP) application. The following modules are to be implemented using SAP ERP Central Component (ECC 6.0), Enhancement Package (EHP 7):</w:t>
      </w:r>
    </w:p>
    <w:p w:rsidR="00041054" w:rsidRPr="00D84D4B" w:rsidRDefault="00041054" w:rsidP="00CF66A5">
      <w:pPr>
        <w:pStyle w:val="ListParagraph"/>
        <w:numPr>
          <w:ilvl w:val="1"/>
          <w:numId w:val="32"/>
        </w:numPr>
        <w:spacing w:after="120" w:line="240" w:lineRule="auto"/>
        <w:contextualSpacing w:val="0"/>
        <w:jc w:val="both"/>
        <w:rPr>
          <w:rFonts w:ascii="Arial" w:eastAsia="Times New Roman" w:hAnsi="Arial" w:cs="Arial"/>
          <w:color w:val="000000"/>
        </w:rPr>
      </w:pPr>
      <w:r w:rsidRPr="00D84D4B">
        <w:rPr>
          <w:rFonts w:ascii="Arial" w:eastAsia="Times New Roman" w:hAnsi="Arial" w:cs="Arial"/>
          <w:color w:val="000000"/>
        </w:rPr>
        <w:t>SAP ERP</w:t>
      </w:r>
    </w:p>
    <w:p w:rsidR="00041054" w:rsidRPr="00D84D4B" w:rsidRDefault="00041054" w:rsidP="00CF66A5">
      <w:pPr>
        <w:pStyle w:val="ListParagraph"/>
        <w:numPr>
          <w:ilvl w:val="2"/>
          <w:numId w:val="32"/>
        </w:numPr>
        <w:spacing w:after="120" w:line="240" w:lineRule="auto"/>
        <w:jc w:val="both"/>
        <w:rPr>
          <w:rFonts w:ascii="Arial" w:eastAsia="Times New Roman" w:hAnsi="Arial" w:cs="Arial"/>
          <w:color w:val="000000"/>
        </w:rPr>
      </w:pPr>
      <w:r w:rsidRPr="00D84D4B">
        <w:rPr>
          <w:rFonts w:ascii="Arial" w:eastAsia="Times New Roman" w:hAnsi="Arial" w:cs="Arial"/>
          <w:color w:val="000000"/>
        </w:rPr>
        <w:t>Finance and Control (FICO)</w:t>
      </w:r>
    </w:p>
    <w:p w:rsidR="00041054" w:rsidRPr="00D84D4B" w:rsidRDefault="00041054" w:rsidP="00CF66A5">
      <w:pPr>
        <w:pStyle w:val="ListParagraph"/>
        <w:numPr>
          <w:ilvl w:val="2"/>
          <w:numId w:val="32"/>
        </w:numPr>
        <w:spacing w:after="120" w:line="240" w:lineRule="auto"/>
        <w:jc w:val="both"/>
        <w:rPr>
          <w:rFonts w:ascii="Arial" w:eastAsia="Times New Roman" w:hAnsi="Arial" w:cs="Arial"/>
          <w:color w:val="000000"/>
        </w:rPr>
      </w:pPr>
      <w:r w:rsidRPr="00D84D4B">
        <w:rPr>
          <w:rFonts w:ascii="Arial" w:eastAsia="Times New Roman" w:hAnsi="Arial" w:cs="Arial"/>
          <w:color w:val="000000"/>
        </w:rPr>
        <w:t>Materials Management (MM)</w:t>
      </w:r>
    </w:p>
    <w:p w:rsidR="00041054" w:rsidRPr="00D84D4B" w:rsidRDefault="00041054" w:rsidP="00CF66A5">
      <w:pPr>
        <w:pStyle w:val="ListParagraph"/>
        <w:numPr>
          <w:ilvl w:val="2"/>
          <w:numId w:val="32"/>
        </w:numPr>
        <w:spacing w:after="120" w:line="240" w:lineRule="auto"/>
        <w:contextualSpacing w:val="0"/>
        <w:jc w:val="both"/>
        <w:rPr>
          <w:rFonts w:ascii="Arial" w:eastAsia="Times New Roman" w:hAnsi="Arial" w:cs="Arial"/>
          <w:color w:val="000000"/>
        </w:rPr>
      </w:pPr>
      <w:r w:rsidRPr="00D84D4B">
        <w:rPr>
          <w:rFonts w:ascii="Arial" w:eastAsia="Times New Roman" w:hAnsi="Arial" w:cs="Arial"/>
          <w:color w:val="000000"/>
        </w:rPr>
        <w:t>Project System (PS)</w:t>
      </w:r>
    </w:p>
    <w:p w:rsidR="00041054" w:rsidRPr="00D84D4B" w:rsidRDefault="00041054" w:rsidP="00CF66A5">
      <w:pPr>
        <w:pStyle w:val="ListParagraph"/>
        <w:numPr>
          <w:ilvl w:val="1"/>
          <w:numId w:val="32"/>
        </w:numPr>
        <w:spacing w:after="120" w:line="240" w:lineRule="auto"/>
        <w:contextualSpacing w:val="0"/>
        <w:jc w:val="both"/>
        <w:rPr>
          <w:rFonts w:ascii="Arial" w:eastAsia="Times New Roman" w:hAnsi="Arial" w:cs="Arial"/>
          <w:color w:val="000000"/>
        </w:rPr>
      </w:pPr>
      <w:r w:rsidRPr="00D84D4B">
        <w:rPr>
          <w:rFonts w:ascii="Arial" w:eastAsia="Times New Roman" w:hAnsi="Arial" w:cs="Arial"/>
          <w:color w:val="000000"/>
        </w:rPr>
        <w:t>SAP Solution Manager</w:t>
      </w:r>
    </w:p>
    <w:p w:rsidR="00041054" w:rsidRPr="00D84D4B" w:rsidRDefault="00041054" w:rsidP="00CF66A5">
      <w:pPr>
        <w:pStyle w:val="ListParagraph"/>
        <w:numPr>
          <w:ilvl w:val="1"/>
          <w:numId w:val="32"/>
        </w:numPr>
        <w:spacing w:after="120" w:line="240" w:lineRule="auto"/>
        <w:contextualSpacing w:val="0"/>
        <w:jc w:val="both"/>
        <w:rPr>
          <w:rFonts w:ascii="Arial" w:eastAsia="Times New Roman" w:hAnsi="Arial" w:cs="Arial"/>
          <w:color w:val="000000"/>
        </w:rPr>
      </w:pPr>
      <w:r w:rsidRPr="00D84D4B">
        <w:rPr>
          <w:rFonts w:ascii="Arial" w:eastAsia="Times New Roman" w:hAnsi="Arial" w:cs="Arial"/>
          <w:color w:val="000000"/>
        </w:rPr>
        <w:t>SAP Governance, Risk and Compliance (GRC)</w:t>
      </w:r>
    </w:p>
    <w:p w:rsidR="00041054" w:rsidRPr="00D84D4B" w:rsidRDefault="00041054" w:rsidP="00041054">
      <w:pPr>
        <w:spacing w:after="120"/>
        <w:jc w:val="both"/>
        <w:rPr>
          <w:rFonts w:ascii="Arial" w:hAnsi="Arial" w:cs="Arial"/>
          <w:color w:val="000000"/>
          <w:sz w:val="22"/>
          <w:szCs w:val="22"/>
        </w:rPr>
      </w:pPr>
      <w:r w:rsidRPr="00D84D4B">
        <w:rPr>
          <w:rFonts w:ascii="Arial" w:hAnsi="Arial" w:cs="Arial"/>
          <w:color w:val="000000"/>
          <w:sz w:val="22"/>
          <w:szCs w:val="22"/>
        </w:rPr>
        <w:t>The following is the projected revenue requirement</w:t>
      </w:r>
      <w:r w:rsidR="00E45150" w:rsidRPr="00D84D4B">
        <w:rPr>
          <w:rFonts w:ascii="Arial" w:hAnsi="Arial" w:cs="Arial"/>
          <w:color w:val="000000"/>
          <w:sz w:val="22"/>
          <w:szCs w:val="22"/>
        </w:rPr>
        <w:t xml:space="preserve"> for three Discoms </w:t>
      </w:r>
      <w:r w:rsidRPr="00D84D4B">
        <w:rPr>
          <w:rFonts w:ascii="Arial" w:hAnsi="Arial" w:cs="Arial"/>
          <w:color w:val="000000"/>
          <w:sz w:val="22"/>
          <w:szCs w:val="22"/>
        </w:rPr>
        <w:t>:</w:t>
      </w:r>
    </w:p>
    <w:tbl>
      <w:tblPr>
        <w:tblW w:w="9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8"/>
        <w:gridCol w:w="1708"/>
        <w:gridCol w:w="1063"/>
        <w:gridCol w:w="930"/>
        <w:gridCol w:w="828"/>
        <w:gridCol w:w="828"/>
        <w:gridCol w:w="930"/>
        <w:gridCol w:w="930"/>
        <w:gridCol w:w="930"/>
        <w:gridCol w:w="930"/>
      </w:tblGrid>
      <w:tr w:rsidR="00041054" w:rsidRPr="00D84D4B" w:rsidTr="00E45150">
        <w:tc>
          <w:tcPr>
            <w:tcW w:w="468" w:type="dxa"/>
          </w:tcPr>
          <w:p w:rsidR="00041054" w:rsidRPr="00D84D4B" w:rsidRDefault="00041054" w:rsidP="00041054">
            <w:pPr>
              <w:jc w:val="both"/>
              <w:rPr>
                <w:rFonts w:ascii="Arial" w:hAnsi="Arial" w:cs="Arial"/>
                <w:color w:val="000000"/>
                <w:sz w:val="22"/>
                <w:szCs w:val="22"/>
              </w:rPr>
            </w:pPr>
          </w:p>
        </w:tc>
        <w:tc>
          <w:tcPr>
            <w:tcW w:w="1708" w:type="dxa"/>
          </w:tcPr>
          <w:p w:rsidR="00041054" w:rsidRPr="00D84D4B" w:rsidRDefault="00041054" w:rsidP="00041054">
            <w:pPr>
              <w:jc w:val="both"/>
              <w:rPr>
                <w:rFonts w:ascii="Arial" w:hAnsi="Arial" w:cs="Arial"/>
                <w:color w:val="000000"/>
                <w:sz w:val="22"/>
                <w:szCs w:val="22"/>
              </w:rPr>
            </w:pPr>
          </w:p>
        </w:tc>
        <w:tc>
          <w:tcPr>
            <w:tcW w:w="3649" w:type="dxa"/>
            <w:gridSpan w:val="4"/>
          </w:tcPr>
          <w:p w:rsidR="00041054" w:rsidRPr="00D84D4B" w:rsidRDefault="00041054" w:rsidP="00041054">
            <w:pPr>
              <w:jc w:val="center"/>
              <w:rPr>
                <w:rFonts w:ascii="Arial" w:hAnsi="Arial" w:cs="Arial"/>
                <w:color w:val="000000"/>
                <w:sz w:val="22"/>
                <w:szCs w:val="22"/>
              </w:rPr>
            </w:pPr>
            <w:r w:rsidRPr="00D84D4B">
              <w:rPr>
                <w:rFonts w:ascii="Arial" w:hAnsi="Arial" w:cs="Arial"/>
                <w:color w:val="000000"/>
                <w:sz w:val="22"/>
                <w:szCs w:val="22"/>
              </w:rPr>
              <w:t>Capex (Rs. in Lakhs)</w:t>
            </w:r>
          </w:p>
        </w:tc>
        <w:tc>
          <w:tcPr>
            <w:tcW w:w="3720" w:type="dxa"/>
            <w:gridSpan w:val="4"/>
          </w:tcPr>
          <w:p w:rsidR="00041054" w:rsidRPr="00D84D4B" w:rsidRDefault="00041054" w:rsidP="00041054">
            <w:pPr>
              <w:jc w:val="center"/>
              <w:rPr>
                <w:rFonts w:ascii="Arial" w:hAnsi="Arial" w:cs="Arial"/>
                <w:color w:val="000000"/>
                <w:sz w:val="22"/>
                <w:szCs w:val="22"/>
              </w:rPr>
            </w:pPr>
            <w:r w:rsidRPr="00D84D4B">
              <w:rPr>
                <w:rFonts w:ascii="Arial" w:hAnsi="Arial" w:cs="Arial"/>
                <w:color w:val="000000"/>
                <w:sz w:val="22"/>
                <w:szCs w:val="22"/>
              </w:rPr>
              <w:t>Opex (Rs. in Lakhs)</w:t>
            </w:r>
          </w:p>
        </w:tc>
      </w:tr>
      <w:tr w:rsidR="00041054" w:rsidRPr="00D84D4B" w:rsidTr="00E45150">
        <w:tc>
          <w:tcPr>
            <w:tcW w:w="468" w:type="dxa"/>
          </w:tcPr>
          <w:p w:rsidR="00041054" w:rsidRPr="00D84D4B" w:rsidRDefault="00041054" w:rsidP="00041054">
            <w:pPr>
              <w:jc w:val="both"/>
              <w:rPr>
                <w:rFonts w:ascii="Arial" w:hAnsi="Arial" w:cs="Arial"/>
                <w:color w:val="000000"/>
                <w:sz w:val="22"/>
                <w:szCs w:val="22"/>
              </w:rPr>
            </w:pPr>
            <w:r w:rsidRPr="00D84D4B">
              <w:rPr>
                <w:rFonts w:ascii="Arial" w:hAnsi="Arial" w:cs="Arial"/>
                <w:color w:val="000000"/>
                <w:sz w:val="22"/>
                <w:szCs w:val="22"/>
              </w:rPr>
              <w:t>Sl. No.</w:t>
            </w:r>
          </w:p>
        </w:tc>
        <w:tc>
          <w:tcPr>
            <w:tcW w:w="1708" w:type="dxa"/>
            <w:vAlign w:val="bottom"/>
          </w:tcPr>
          <w:p w:rsidR="00041054" w:rsidRPr="00D84D4B" w:rsidRDefault="00041054" w:rsidP="00041054">
            <w:pPr>
              <w:jc w:val="center"/>
              <w:rPr>
                <w:rFonts w:ascii="Arial" w:hAnsi="Arial" w:cs="Arial"/>
                <w:color w:val="000000"/>
                <w:sz w:val="22"/>
                <w:szCs w:val="22"/>
              </w:rPr>
            </w:pPr>
            <w:r w:rsidRPr="00D84D4B">
              <w:rPr>
                <w:rFonts w:ascii="Arial" w:hAnsi="Arial" w:cs="Arial"/>
                <w:color w:val="000000"/>
                <w:sz w:val="22"/>
                <w:szCs w:val="22"/>
              </w:rPr>
              <w:t>Description</w:t>
            </w:r>
          </w:p>
        </w:tc>
        <w:tc>
          <w:tcPr>
            <w:tcW w:w="1063" w:type="dxa"/>
            <w:vAlign w:val="bottom"/>
          </w:tcPr>
          <w:p w:rsidR="00041054" w:rsidRPr="00D84D4B" w:rsidRDefault="00041054" w:rsidP="00041054">
            <w:pPr>
              <w:jc w:val="center"/>
              <w:rPr>
                <w:rFonts w:ascii="Arial" w:hAnsi="Arial" w:cs="Arial"/>
                <w:color w:val="000000"/>
                <w:sz w:val="22"/>
                <w:szCs w:val="22"/>
              </w:rPr>
            </w:pPr>
            <w:r w:rsidRPr="00D84D4B">
              <w:rPr>
                <w:rFonts w:ascii="Arial" w:hAnsi="Arial" w:cs="Arial"/>
                <w:color w:val="000000"/>
                <w:sz w:val="22"/>
                <w:szCs w:val="22"/>
              </w:rPr>
              <w:t>2015- 16</w:t>
            </w:r>
          </w:p>
        </w:tc>
        <w:tc>
          <w:tcPr>
            <w:tcW w:w="930" w:type="dxa"/>
            <w:vAlign w:val="bottom"/>
          </w:tcPr>
          <w:p w:rsidR="00041054" w:rsidRPr="00D84D4B" w:rsidRDefault="00041054" w:rsidP="00041054">
            <w:pPr>
              <w:jc w:val="center"/>
              <w:rPr>
                <w:rFonts w:ascii="Arial" w:hAnsi="Arial" w:cs="Arial"/>
                <w:color w:val="000000"/>
                <w:sz w:val="22"/>
                <w:szCs w:val="22"/>
              </w:rPr>
            </w:pPr>
            <w:r w:rsidRPr="00D84D4B">
              <w:rPr>
                <w:rFonts w:ascii="Arial" w:hAnsi="Arial" w:cs="Arial"/>
                <w:color w:val="000000"/>
                <w:sz w:val="22"/>
                <w:szCs w:val="22"/>
              </w:rPr>
              <w:t>2016- 17</w:t>
            </w:r>
          </w:p>
        </w:tc>
        <w:tc>
          <w:tcPr>
            <w:tcW w:w="828" w:type="dxa"/>
            <w:vAlign w:val="bottom"/>
          </w:tcPr>
          <w:p w:rsidR="00041054" w:rsidRPr="00D84D4B" w:rsidRDefault="00041054" w:rsidP="00041054">
            <w:pPr>
              <w:jc w:val="center"/>
              <w:rPr>
                <w:rFonts w:ascii="Arial" w:hAnsi="Arial" w:cs="Arial"/>
                <w:color w:val="000000"/>
                <w:sz w:val="22"/>
                <w:szCs w:val="22"/>
              </w:rPr>
            </w:pPr>
            <w:r w:rsidRPr="00D84D4B">
              <w:rPr>
                <w:rFonts w:ascii="Arial" w:hAnsi="Arial" w:cs="Arial"/>
                <w:color w:val="000000"/>
                <w:sz w:val="22"/>
                <w:szCs w:val="22"/>
              </w:rPr>
              <w:t>2017- 18</w:t>
            </w:r>
          </w:p>
        </w:tc>
        <w:tc>
          <w:tcPr>
            <w:tcW w:w="828" w:type="dxa"/>
            <w:vAlign w:val="bottom"/>
          </w:tcPr>
          <w:p w:rsidR="00041054" w:rsidRPr="00D84D4B" w:rsidRDefault="00041054" w:rsidP="00041054">
            <w:pPr>
              <w:jc w:val="center"/>
              <w:rPr>
                <w:rFonts w:ascii="Arial" w:hAnsi="Arial" w:cs="Arial"/>
                <w:color w:val="000000"/>
                <w:sz w:val="22"/>
                <w:szCs w:val="22"/>
              </w:rPr>
            </w:pPr>
            <w:r w:rsidRPr="00D84D4B">
              <w:rPr>
                <w:rFonts w:ascii="Arial" w:hAnsi="Arial" w:cs="Arial"/>
                <w:color w:val="000000"/>
                <w:sz w:val="22"/>
                <w:szCs w:val="22"/>
              </w:rPr>
              <w:t>2018- 19</w:t>
            </w:r>
          </w:p>
        </w:tc>
        <w:tc>
          <w:tcPr>
            <w:tcW w:w="930" w:type="dxa"/>
            <w:vAlign w:val="bottom"/>
          </w:tcPr>
          <w:p w:rsidR="00041054" w:rsidRPr="00D84D4B" w:rsidRDefault="00041054" w:rsidP="00041054">
            <w:pPr>
              <w:jc w:val="center"/>
              <w:rPr>
                <w:rFonts w:ascii="Arial" w:hAnsi="Arial" w:cs="Arial"/>
                <w:color w:val="000000"/>
                <w:sz w:val="22"/>
                <w:szCs w:val="22"/>
              </w:rPr>
            </w:pPr>
            <w:r w:rsidRPr="00D84D4B">
              <w:rPr>
                <w:rFonts w:ascii="Arial" w:hAnsi="Arial" w:cs="Arial"/>
                <w:color w:val="000000"/>
                <w:sz w:val="22"/>
                <w:szCs w:val="22"/>
              </w:rPr>
              <w:t>2015- 16</w:t>
            </w:r>
          </w:p>
        </w:tc>
        <w:tc>
          <w:tcPr>
            <w:tcW w:w="930" w:type="dxa"/>
            <w:vAlign w:val="bottom"/>
          </w:tcPr>
          <w:p w:rsidR="00041054" w:rsidRPr="00D84D4B" w:rsidRDefault="00041054" w:rsidP="00041054">
            <w:pPr>
              <w:jc w:val="center"/>
              <w:rPr>
                <w:rFonts w:ascii="Arial" w:hAnsi="Arial" w:cs="Arial"/>
                <w:color w:val="000000"/>
                <w:sz w:val="22"/>
                <w:szCs w:val="22"/>
              </w:rPr>
            </w:pPr>
            <w:r w:rsidRPr="00D84D4B">
              <w:rPr>
                <w:rFonts w:ascii="Arial" w:hAnsi="Arial" w:cs="Arial"/>
                <w:color w:val="000000"/>
                <w:sz w:val="22"/>
                <w:szCs w:val="22"/>
              </w:rPr>
              <w:t>2016- 17</w:t>
            </w:r>
          </w:p>
        </w:tc>
        <w:tc>
          <w:tcPr>
            <w:tcW w:w="930" w:type="dxa"/>
            <w:vAlign w:val="bottom"/>
          </w:tcPr>
          <w:p w:rsidR="00041054" w:rsidRPr="00D84D4B" w:rsidRDefault="00041054" w:rsidP="00041054">
            <w:pPr>
              <w:jc w:val="center"/>
              <w:rPr>
                <w:rFonts w:ascii="Arial" w:hAnsi="Arial" w:cs="Arial"/>
                <w:color w:val="000000"/>
                <w:sz w:val="22"/>
                <w:szCs w:val="22"/>
              </w:rPr>
            </w:pPr>
            <w:r w:rsidRPr="00D84D4B">
              <w:rPr>
                <w:rFonts w:ascii="Arial" w:hAnsi="Arial" w:cs="Arial"/>
                <w:color w:val="000000"/>
                <w:sz w:val="22"/>
                <w:szCs w:val="22"/>
              </w:rPr>
              <w:t>2017- 18</w:t>
            </w:r>
          </w:p>
        </w:tc>
        <w:tc>
          <w:tcPr>
            <w:tcW w:w="930" w:type="dxa"/>
            <w:vAlign w:val="bottom"/>
          </w:tcPr>
          <w:p w:rsidR="00041054" w:rsidRPr="00D84D4B" w:rsidRDefault="00041054" w:rsidP="00041054">
            <w:pPr>
              <w:jc w:val="center"/>
              <w:rPr>
                <w:rFonts w:ascii="Arial" w:hAnsi="Arial" w:cs="Arial"/>
                <w:color w:val="000000"/>
                <w:sz w:val="22"/>
                <w:szCs w:val="22"/>
              </w:rPr>
            </w:pPr>
            <w:r w:rsidRPr="00D84D4B">
              <w:rPr>
                <w:rFonts w:ascii="Arial" w:hAnsi="Arial" w:cs="Arial"/>
                <w:color w:val="000000"/>
                <w:sz w:val="22"/>
                <w:szCs w:val="22"/>
              </w:rPr>
              <w:t>2018- 19</w:t>
            </w:r>
          </w:p>
        </w:tc>
      </w:tr>
      <w:tr w:rsidR="00041054" w:rsidRPr="00D84D4B" w:rsidTr="00E45150">
        <w:tc>
          <w:tcPr>
            <w:tcW w:w="468" w:type="dxa"/>
          </w:tcPr>
          <w:p w:rsidR="00041054" w:rsidRPr="00D84D4B" w:rsidRDefault="00041054" w:rsidP="00041054">
            <w:pPr>
              <w:jc w:val="both"/>
              <w:rPr>
                <w:rFonts w:ascii="Arial" w:hAnsi="Arial" w:cs="Arial"/>
                <w:color w:val="000000"/>
                <w:sz w:val="22"/>
                <w:szCs w:val="22"/>
              </w:rPr>
            </w:pPr>
            <w:r w:rsidRPr="00D84D4B">
              <w:rPr>
                <w:rFonts w:ascii="Arial" w:hAnsi="Arial" w:cs="Arial"/>
                <w:color w:val="000000"/>
                <w:sz w:val="22"/>
                <w:szCs w:val="22"/>
              </w:rPr>
              <w:t>1.</w:t>
            </w:r>
          </w:p>
        </w:tc>
        <w:tc>
          <w:tcPr>
            <w:tcW w:w="1708" w:type="dxa"/>
            <w:vAlign w:val="bottom"/>
          </w:tcPr>
          <w:p w:rsidR="00041054" w:rsidRPr="00D84D4B" w:rsidRDefault="00041054" w:rsidP="00727E5E">
            <w:pPr>
              <w:rPr>
                <w:rFonts w:ascii="Arial" w:hAnsi="Arial" w:cs="Arial"/>
                <w:color w:val="000000"/>
                <w:sz w:val="22"/>
                <w:szCs w:val="22"/>
              </w:rPr>
            </w:pPr>
            <w:r w:rsidRPr="00D84D4B">
              <w:rPr>
                <w:rFonts w:ascii="Arial" w:hAnsi="Arial" w:cs="Arial"/>
                <w:color w:val="000000"/>
                <w:sz w:val="22"/>
                <w:szCs w:val="22"/>
              </w:rPr>
              <w:t>Mobile phone- based spot billing</w:t>
            </w:r>
          </w:p>
        </w:tc>
        <w:tc>
          <w:tcPr>
            <w:tcW w:w="1063"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672.00</w:t>
            </w:r>
          </w:p>
        </w:tc>
        <w:tc>
          <w:tcPr>
            <w:tcW w:w="930" w:type="dxa"/>
            <w:vAlign w:val="bottom"/>
          </w:tcPr>
          <w:p w:rsidR="00041054" w:rsidRPr="00D84D4B" w:rsidRDefault="00041054" w:rsidP="00041054">
            <w:pPr>
              <w:jc w:val="right"/>
              <w:rPr>
                <w:rFonts w:ascii="Arial" w:hAnsi="Arial" w:cs="Arial"/>
                <w:color w:val="000000"/>
                <w:sz w:val="22"/>
                <w:szCs w:val="22"/>
              </w:rPr>
            </w:pPr>
          </w:p>
        </w:tc>
        <w:tc>
          <w:tcPr>
            <w:tcW w:w="828" w:type="dxa"/>
            <w:vAlign w:val="bottom"/>
          </w:tcPr>
          <w:p w:rsidR="00041054" w:rsidRPr="00D84D4B" w:rsidRDefault="00041054" w:rsidP="00041054">
            <w:pPr>
              <w:jc w:val="right"/>
              <w:rPr>
                <w:rFonts w:ascii="Arial" w:hAnsi="Arial" w:cs="Arial"/>
                <w:color w:val="000000"/>
                <w:sz w:val="22"/>
                <w:szCs w:val="22"/>
              </w:rPr>
            </w:pPr>
          </w:p>
        </w:tc>
        <w:tc>
          <w:tcPr>
            <w:tcW w:w="828" w:type="dxa"/>
            <w:vAlign w:val="bottom"/>
          </w:tcPr>
          <w:p w:rsidR="00041054" w:rsidRPr="00D84D4B" w:rsidRDefault="00041054" w:rsidP="00041054">
            <w:pPr>
              <w:jc w:val="right"/>
              <w:rPr>
                <w:rFonts w:ascii="Arial" w:hAnsi="Arial" w:cs="Arial"/>
                <w:color w:val="000000"/>
                <w:sz w:val="22"/>
                <w:szCs w:val="22"/>
              </w:rPr>
            </w:pPr>
          </w:p>
        </w:tc>
        <w:tc>
          <w:tcPr>
            <w:tcW w:w="930"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153.00</w:t>
            </w:r>
          </w:p>
        </w:tc>
        <w:tc>
          <w:tcPr>
            <w:tcW w:w="930"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208.00</w:t>
            </w:r>
          </w:p>
        </w:tc>
        <w:tc>
          <w:tcPr>
            <w:tcW w:w="930"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208.00</w:t>
            </w:r>
          </w:p>
        </w:tc>
        <w:tc>
          <w:tcPr>
            <w:tcW w:w="930" w:type="dxa"/>
            <w:vAlign w:val="bottom"/>
          </w:tcPr>
          <w:p w:rsidR="00041054" w:rsidRPr="00D84D4B" w:rsidRDefault="00041054" w:rsidP="00041054">
            <w:pPr>
              <w:jc w:val="right"/>
              <w:rPr>
                <w:rFonts w:ascii="Arial" w:hAnsi="Arial" w:cs="Arial"/>
                <w:color w:val="000000"/>
                <w:sz w:val="22"/>
                <w:szCs w:val="22"/>
              </w:rPr>
            </w:pPr>
          </w:p>
        </w:tc>
      </w:tr>
      <w:tr w:rsidR="00041054" w:rsidRPr="00D84D4B" w:rsidTr="00E45150">
        <w:tc>
          <w:tcPr>
            <w:tcW w:w="468" w:type="dxa"/>
          </w:tcPr>
          <w:p w:rsidR="00041054" w:rsidRPr="00D84D4B" w:rsidRDefault="00041054" w:rsidP="00041054">
            <w:pPr>
              <w:jc w:val="both"/>
              <w:rPr>
                <w:rFonts w:ascii="Arial" w:hAnsi="Arial" w:cs="Arial"/>
                <w:color w:val="000000"/>
                <w:sz w:val="22"/>
                <w:szCs w:val="22"/>
              </w:rPr>
            </w:pPr>
            <w:r w:rsidRPr="00D84D4B">
              <w:rPr>
                <w:rFonts w:ascii="Arial" w:hAnsi="Arial" w:cs="Arial"/>
                <w:color w:val="000000"/>
                <w:sz w:val="22"/>
                <w:szCs w:val="22"/>
              </w:rPr>
              <w:t>2.</w:t>
            </w:r>
          </w:p>
        </w:tc>
        <w:tc>
          <w:tcPr>
            <w:tcW w:w="1708" w:type="dxa"/>
            <w:vAlign w:val="bottom"/>
          </w:tcPr>
          <w:p w:rsidR="00041054" w:rsidRPr="00D84D4B" w:rsidRDefault="00041054" w:rsidP="00727E5E">
            <w:pPr>
              <w:rPr>
                <w:rFonts w:ascii="Arial" w:hAnsi="Arial" w:cs="Arial"/>
                <w:color w:val="000000"/>
                <w:sz w:val="22"/>
                <w:szCs w:val="22"/>
              </w:rPr>
            </w:pPr>
            <w:r w:rsidRPr="00D84D4B">
              <w:rPr>
                <w:rFonts w:ascii="Arial" w:hAnsi="Arial" w:cs="Arial"/>
                <w:color w:val="000000"/>
                <w:sz w:val="22"/>
                <w:szCs w:val="22"/>
              </w:rPr>
              <w:t>WAN</w:t>
            </w:r>
          </w:p>
        </w:tc>
        <w:tc>
          <w:tcPr>
            <w:tcW w:w="1063"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130.00</w:t>
            </w:r>
          </w:p>
        </w:tc>
        <w:tc>
          <w:tcPr>
            <w:tcW w:w="930"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25.00</w:t>
            </w:r>
          </w:p>
        </w:tc>
        <w:tc>
          <w:tcPr>
            <w:tcW w:w="828"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25.00</w:t>
            </w:r>
          </w:p>
        </w:tc>
        <w:tc>
          <w:tcPr>
            <w:tcW w:w="828"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25.00</w:t>
            </w:r>
          </w:p>
        </w:tc>
        <w:tc>
          <w:tcPr>
            <w:tcW w:w="930"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75.00</w:t>
            </w:r>
          </w:p>
        </w:tc>
        <w:tc>
          <w:tcPr>
            <w:tcW w:w="930"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75.00</w:t>
            </w:r>
          </w:p>
        </w:tc>
        <w:tc>
          <w:tcPr>
            <w:tcW w:w="930"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75.00</w:t>
            </w:r>
          </w:p>
        </w:tc>
        <w:tc>
          <w:tcPr>
            <w:tcW w:w="930"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75.00</w:t>
            </w:r>
          </w:p>
        </w:tc>
      </w:tr>
      <w:tr w:rsidR="00041054" w:rsidRPr="00D84D4B" w:rsidTr="00E45150">
        <w:tc>
          <w:tcPr>
            <w:tcW w:w="468" w:type="dxa"/>
          </w:tcPr>
          <w:p w:rsidR="00041054" w:rsidRPr="00D84D4B" w:rsidRDefault="00041054" w:rsidP="00041054">
            <w:pPr>
              <w:jc w:val="both"/>
              <w:rPr>
                <w:rFonts w:ascii="Arial" w:hAnsi="Arial" w:cs="Arial"/>
                <w:color w:val="000000"/>
                <w:sz w:val="22"/>
                <w:szCs w:val="22"/>
              </w:rPr>
            </w:pPr>
            <w:r w:rsidRPr="00D84D4B">
              <w:rPr>
                <w:rFonts w:ascii="Arial" w:hAnsi="Arial" w:cs="Arial"/>
                <w:color w:val="000000"/>
                <w:sz w:val="22"/>
                <w:szCs w:val="22"/>
              </w:rPr>
              <w:t>3.</w:t>
            </w:r>
          </w:p>
        </w:tc>
        <w:tc>
          <w:tcPr>
            <w:tcW w:w="1708" w:type="dxa"/>
            <w:vAlign w:val="bottom"/>
          </w:tcPr>
          <w:p w:rsidR="00041054" w:rsidRPr="00D84D4B" w:rsidRDefault="00041054" w:rsidP="00727E5E">
            <w:pPr>
              <w:rPr>
                <w:rFonts w:ascii="Arial" w:hAnsi="Arial" w:cs="Arial"/>
                <w:color w:val="000000"/>
                <w:sz w:val="22"/>
                <w:szCs w:val="22"/>
              </w:rPr>
            </w:pPr>
            <w:r w:rsidRPr="00D84D4B">
              <w:rPr>
                <w:rFonts w:ascii="Arial" w:hAnsi="Arial" w:cs="Arial"/>
                <w:color w:val="000000"/>
                <w:sz w:val="22"/>
                <w:szCs w:val="22"/>
              </w:rPr>
              <w:t>Virtualisation of EBS</w:t>
            </w:r>
          </w:p>
        </w:tc>
        <w:tc>
          <w:tcPr>
            <w:tcW w:w="1063"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20.00</w:t>
            </w:r>
          </w:p>
        </w:tc>
        <w:tc>
          <w:tcPr>
            <w:tcW w:w="930"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20.00</w:t>
            </w:r>
          </w:p>
        </w:tc>
        <w:tc>
          <w:tcPr>
            <w:tcW w:w="828"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20.00</w:t>
            </w:r>
          </w:p>
        </w:tc>
        <w:tc>
          <w:tcPr>
            <w:tcW w:w="828"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 </w:t>
            </w:r>
          </w:p>
        </w:tc>
        <w:tc>
          <w:tcPr>
            <w:tcW w:w="930"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5.00</w:t>
            </w:r>
          </w:p>
        </w:tc>
        <w:tc>
          <w:tcPr>
            <w:tcW w:w="930"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5.00</w:t>
            </w:r>
          </w:p>
        </w:tc>
        <w:tc>
          <w:tcPr>
            <w:tcW w:w="930"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5.00</w:t>
            </w:r>
          </w:p>
        </w:tc>
        <w:tc>
          <w:tcPr>
            <w:tcW w:w="930"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 </w:t>
            </w:r>
          </w:p>
        </w:tc>
      </w:tr>
      <w:tr w:rsidR="00041054" w:rsidRPr="00D84D4B" w:rsidTr="00E45150">
        <w:tc>
          <w:tcPr>
            <w:tcW w:w="468" w:type="dxa"/>
          </w:tcPr>
          <w:p w:rsidR="00041054" w:rsidRPr="00D84D4B" w:rsidRDefault="00041054" w:rsidP="00041054">
            <w:pPr>
              <w:jc w:val="both"/>
              <w:rPr>
                <w:rFonts w:ascii="Arial" w:hAnsi="Arial" w:cs="Arial"/>
                <w:color w:val="000000"/>
                <w:sz w:val="22"/>
                <w:szCs w:val="22"/>
              </w:rPr>
            </w:pPr>
            <w:r w:rsidRPr="00D84D4B">
              <w:rPr>
                <w:rFonts w:ascii="Arial" w:hAnsi="Arial" w:cs="Arial"/>
                <w:color w:val="000000"/>
                <w:sz w:val="22"/>
                <w:szCs w:val="22"/>
              </w:rPr>
              <w:t>4.</w:t>
            </w:r>
          </w:p>
        </w:tc>
        <w:tc>
          <w:tcPr>
            <w:tcW w:w="1708" w:type="dxa"/>
            <w:vAlign w:val="bottom"/>
          </w:tcPr>
          <w:p w:rsidR="00041054" w:rsidRPr="00D84D4B" w:rsidRDefault="00041054" w:rsidP="00727E5E">
            <w:pPr>
              <w:rPr>
                <w:rFonts w:ascii="Arial" w:hAnsi="Arial" w:cs="Arial"/>
                <w:color w:val="000000"/>
                <w:sz w:val="22"/>
                <w:szCs w:val="22"/>
              </w:rPr>
            </w:pPr>
            <w:r w:rsidRPr="00D84D4B">
              <w:rPr>
                <w:rFonts w:ascii="Arial" w:hAnsi="Arial" w:cs="Arial"/>
                <w:color w:val="000000"/>
                <w:sz w:val="22"/>
                <w:szCs w:val="22"/>
              </w:rPr>
              <w:t>Data centre</w:t>
            </w:r>
          </w:p>
        </w:tc>
        <w:tc>
          <w:tcPr>
            <w:tcW w:w="1063"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300.00</w:t>
            </w:r>
          </w:p>
        </w:tc>
        <w:tc>
          <w:tcPr>
            <w:tcW w:w="930"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100.00</w:t>
            </w:r>
          </w:p>
        </w:tc>
        <w:tc>
          <w:tcPr>
            <w:tcW w:w="828"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50.00</w:t>
            </w:r>
          </w:p>
        </w:tc>
        <w:tc>
          <w:tcPr>
            <w:tcW w:w="828"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 </w:t>
            </w:r>
          </w:p>
        </w:tc>
        <w:tc>
          <w:tcPr>
            <w:tcW w:w="930"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55.00</w:t>
            </w:r>
          </w:p>
        </w:tc>
        <w:tc>
          <w:tcPr>
            <w:tcW w:w="930"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45.00</w:t>
            </w:r>
          </w:p>
        </w:tc>
        <w:tc>
          <w:tcPr>
            <w:tcW w:w="930"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45.00</w:t>
            </w:r>
          </w:p>
        </w:tc>
        <w:tc>
          <w:tcPr>
            <w:tcW w:w="930"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45.00</w:t>
            </w:r>
          </w:p>
        </w:tc>
      </w:tr>
      <w:tr w:rsidR="00041054" w:rsidRPr="00D84D4B" w:rsidTr="00E45150">
        <w:tc>
          <w:tcPr>
            <w:tcW w:w="468" w:type="dxa"/>
          </w:tcPr>
          <w:p w:rsidR="00041054" w:rsidRPr="00D84D4B" w:rsidRDefault="00041054" w:rsidP="00041054">
            <w:pPr>
              <w:jc w:val="both"/>
              <w:rPr>
                <w:rFonts w:ascii="Arial" w:hAnsi="Arial" w:cs="Arial"/>
                <w:color w:val="000000"/>
                <w:sz w:val="22"/>
                <w:szCs w:val="22"/>
              </w:rPr>
            </w:pPr>
            <w:r w:rsidRPr="00D84D4B">
              <w:rPr>
                <w:rFonts w:ascii="Arial" w:hAnsi="Arial" w:cs="Arial"/>
                <w:color w:val="000000"/>
                <w:sz w:val="22"/>
                <w:szCs w:val="22"/>
              </w:rPr>
              <w:t>5.</w:t>
            </w:r>
          </w:p>
        </w:tc>
        <w:tc>
          <w:tcPr>
            <w:tcW w:w="1708" w:type="dxa"/>
            <w:vAlign w:val="bottom"/>
          </w:tcPr>
          <w:p w:rsidR="00041054" w:rsidRPr="00D84D4B" w:rsidRDefault="00041054" w:rsidP="00727E5E">
            <w:pPr>
              <w:rPr>
                <w:rFonts w:ascii="Arial" w:hAnsi="Arial" w:cs="Arial"/>
                <w:color w:val="000000"/>
                <w:sz w:val="22"/>
                <w:szCs w:val="22"/>
              </w:rPr>
            </w:pPr>
            <w:r w:rsidRPr="00D84D4B">
              <w:rPr>
                <w:rFonts w:ascii="Arial" w:hAnsi="Arial" w:cs="Arial"/>
                <w:color w:val="000000"/>
                <w:sz w:val="22"/>
                <w:szCs w:val="22"/>
              </w:rPr>
              <w:t>ERP (FICO, MM and PS modules only)</w:t>
            </w:r>
          </w:p>
        </w:tc>
        <w:tc>
          <w:tcPr>
            <w:tcW w:w="1063"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45.00</w:t>
            </w:r>
          </w:p>
        </w:tc>
        <w:tc>
          <w:tcPr>
            <w:tcW w:w="930"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 </w:t>
            </w:r>
          </w:p>
        </w:tc>
        <w:tc>
          <w:tcPr>
            <w:tcW w:w="828"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 </w:t>
            </w:r>
          </w:p>
        </w:tc>
        <w:tc>
          <w:tcPr>
            <w:tcW w:w="828"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 </w:t>
            </w:r>
          </w:p>
        </w:tc>
        <w:tc>
          <w:tcPr>
            <w:tcW w:w="930"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45.00</w:t>
            </w:r>
          </w:p>
        </w:tc>
        <w:tc>
          <w:tcPr>
            <w:tcW w:w="930"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45.00</w:t>
            </w:r>
          </w:p>
        </w:tc>
        <w:tc>
          <w:tcPr>
            <w:tcW w:w="930"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45.00</w:t>
            </w:r>
          </w:p>
        </w:tc>
        <w:tc>
          <w:tcPr>
            <w:tcW w:w="930"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 </w:t>
            </w:r>
          </w:p>
        </w:tc>
      </w:tr>
      <w:tr w:rsidR="00041054" w:rsidRPr="00D84D4B" w:rsidTr="00E45150">
        <w:tc>
          <w:tcPr>
            <w:tcW w:w="468" w:type="dxa"/>
          </w:tcPr>
          <w:p w:rsidR="00041054" w:rsidRPr="00D84D4B" w:rsidRDefault="00041054" w:rsidP="00041054">
            <w:pPr>
              <w:jc w:val="both"/>
              <w:rPr>
                <w:rFonts w:ascii="Arial" w:hAnsi="Arial" w:cs="Arial"/>
                <w:color w:val="000000"/>
                <w:sz w:val="22"/>
                <w:szCs w:val="22"/>
              </w:rPr>
            </w:pPr>
          </w:p>
        </w:tc>
        <w:tc>
          <w:tcPr>
            <w:tcW w:w="1708" w:type="dxa"/>
            <w:vAlign w:val="bottom"/>
          </w:tcPr>
          <w:p w:rsidR="00041054" w:rsidRPr="00D84D4B" w:rsidRDefault="00041054" w:rsidP="00727E5E">
            <w:pPr>
              <w:rPr>
                <w:rFonts w:ascii="Arial" w:hAnsi="Arial" w:cs="Arial"/>
                <w:color w:val="000000"/>
                <w:sz w:val="22"/>
                <w:szCs w:val="22"/>
              </w:rPr>
            </w:pPr>
            <w:r w:rsidRPr="00D84D4B">
              <w:rPr>
                <w:rFonts w:ascii="Arial" w:hAnsi="Arial" w:cs="Arial"/>
                <w:color w:val="000000"/>
                <w:sz w:val="22"/>
                <w:szCs w:val="22"/>
              </w:rPr>
              <w:t> </w:t>
            </w:r>
            <w:r w:rsidR="00E45150" w:rsidRPr="00D84D4B">
              <w:rPr>
                <w:rFonts w:ascii="Arial" w:hAnsi="Arial" w:cs="Arial"/>
                <w:color w:val="000000"/>
                <w:sz w:val="22"/>
                <w:szCs w:val="22"/>
              </w:rPr>
              <w:t>Cons Tota</w:t>
            </w:r>
          </w:p>
        </w:tc>
        <w:tc>
          <w:tcPr>
            <w:tcW w:w="1063"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1167.00</w:t>
            </w:r>
          </w:p>
        </w:tc>
        <w:tc>
          <w:tcPr>
            <w:tcW w:w="930"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145.00</w:t>
            </w:r>
          </w:p>
        </w:tc>
        <w:tc>
          <w:tcPr>
            <w:tcW w:w="828"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95.00</w:t>
            </w:r>
          </w:p>
        </w:tc>
        <w:tc>
          <w:tcPr>
            <w:tcW w:w="828"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25.00</w:t>
            </w:r>
          </w:p>
        </w:tc>
        <w:tc>
          <w:tcPr>
            <w:tcW w:w="930"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333.00</w:t>
            </w:r>
          </w:p>
        </w:tc>
        <w:tc>
          <w:tcPr>
            <w:tcW w:w="930"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378.00</w:t>
            </w:r>
          </w:p>
        </w:tc>
        <w:tc>
          <w:tcPr>
            <w:tcW w:w="930"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378.00</w:t>
            </w:r>
          </w:p>
        </w:tc>
        <w:tc>
          <w:tcPr>
            <w:tcW w:w="930" w:type="dxa"/>
            <w:vAlign w:val="bottom"/>
          </w:tcPr>
          <w:p w:rsidR="00041054" w:rsidRPr="00D84D4B" w:rsidRDefault="00041054" w:rsidP="00041054">
            <w:pPr>
              <w:jc w:val="right"/>
              <w:rPr>
                <w:rFonts w:ascii="Arial" w:hAnsi="Arial" w:cs="Arial"/>
                <w:color w:val="000000"/>
                <w:sz w:val="22"/>
                <w:szCs w:val="22"/>
              </w:rPr>
            </w:pPr>
            <w:r w:rsidRPr="00D84D4B">
              <w:rPr>
                <w:rFonts w:ascii="Arial" w:hAnsi="Arial" w:cs="Arial"/>
                <w:color w:val="000000"/>
                <w:sz w:val="22"/>
                <w:szCs w:val="22"/>
              </w:rPr>
              <w:t>120.00</w:t>
            </w:r>
          </w:p>
        </w:tc>
      </w:tr>
      <w:tr w:rsidR="00E45150" w:rsidRPr="00D84D4B" w:rsidTr="00E45150">
        <w:tc>
          <w:tcPr>
            <w:tcW w:w="468" w:type="dxa"/>
          </w:tcPr>
          <w:p w:rsidR="00E45150" w:rsidRPr="00D84D4B" w:rsidRDefault="00E45150" w:rsidP="00041054">
            <w:pPr>
              <w:jc w:val="both"/>
              <w:rPr>
                <w:rFonts w:ascii="Arial" w:hAnsi="Arial" w:cs="Arial"/>
                <w:color w:val="000000"/>
                <w:sz w:val="22"/>
                <w:szCs w:val="22"/>
              </w:rPr>
            </w:pPr>
          </w:p>
        </w:tc>
        <w:tc>
          <w:tcPr>
            <w:tcW w:w="1708" w:type="dxa"/>
            <w:vAlign w:val="bottom"/>
          </w:tcPr>
          <w:p w:rsidR="00E45150" w:rsidRPr="00D84D4B" w:rsidRDefault="00E45150" w:rsidP="00E45150">
            <w:pPr>
              <w:rPr>
                <w:rFonts w:ascii="Arial" w:hAnsi="Arial" w:cs="Arial"/>
                <w:color w:val="000000"/>
                <w:sz w:val="22"/>
                <w:szCs w:val="22"/>
              </w:rPr>
            </w:pPr>
            <w:r w:rsidRPr="00D84D4B">
              <w:rPr>
                <w:rFonts w:ascii="Arial" w:hAnsi="Arial" w:cs="Arial"/>
                <w:color w:val="000000"/>
                <w:sz w:val="22"/>
                <w:szCs w:val="22"/>
              </w:rPr>
              <w:t>Per Discom</w:t>
            </w:r>
          </w:p>
        </w:tc>
        <w:tc>
          <w:tcPr>
            <w:tcW w:w="1063" w:type="dxa"/>
            <w:vAlign w:val="bottom"/>
          </w:tcPr>
          <w:p w:rsidR="00E45150" w:rsidRPr="00D84D4B" w:rsidRDefault="00E45150" w:rsidP="00041054">
            <w:pPr>
              <w:jc w:val="right"/>
              <w:rPr>
                <w:rFonts w:ascii="Arial" w:hAnsi="Arial" w:cs="Arial"/>
                <w:color w:val="000000"/>
                <w:sz w:val="22"/>
                <w:szCs w:val="22"/>
              </w:rPr>
            </w:pPr>
            <w:r w:rsidRPr="00D84D4B">
              <w:rPr>
                <w:rFonts w:ascii="Arial" w:hAnsi="Arial" w:cs="Arial"/>
                <w:color w:val="000000"/>
                <w:sz w:val="22"/>
                <w:szCs w:val="22"/>
              </w:rPr>
              <w:t>389</w:t>
            </w:r>
          </w:p>
        </w:tc>
        <w:tc>
          <w:tcPr>
            <w:tcW w:w="930" w:type="dxa"/>
            <w:vAlign w:val="bottom"/>
          </w:tcPr>
          <w:p w:rsidR="00E45150" w:rsidRPr="00D84D4B" w:rsidRDefault="00E45150" w:rsidP="00041054">
            <w:pPr>
              <w:jc w:val="right"/>
              <w:rPr>
                <w:rFonts w:ascii="Arial" w:hAnsi="Arial" w:cs="Arial"/>
                <w:color w:val="000000"/>
                <w:sz w:val="22"/>
                <w:szCs w:val="22"/>
              </w:rPr>
            </w:pPr>
            <w:r w:rsidRPr="00D84D4B">
              <w:rPr>
                <w:rFonts w:ascii="Arial" w:hAnsi="Arial" w:cs="Arial"/>
                <w:color w:val="000000"/>
                <w:sz w:val="22"/>
                <w:szCs w:val="22"/>
              </w:rPr>
              <w:t>48.3</w:t>
            </w:r>
          </w:p>
        </w:tc>
        <w:tc>
          <w:tcPr>
            <w:tcW w:w="828" w:type="dxa"/>
            <w:vAlign w:val="bottom"/>
          </w:tcPr>
          <w:p w:rsidR="00E45150" w:rsidRPr="00D84D4B" w:rsidRDefault="00E45150" w:rsidP="00041054">
            <w:pPr>
              <w:jc w:val="right"/>
              <w:rPr>
                <w:rFonts w:ascii="Arial" w:hAnsi="Arial" w:cs="Arial"/>
                <w:color w:val="000000"/>
                <w:sz w:val="22"/>
                <w:szCs w:val="22"/>
              </w:rPr>
            </w:pPr>
            <w:r w:rsidRPr="00D84D4B">
              <w:rPr>
                <w:rFonts w:ascii="Arial" w:hAnsi="Arial" w:cs="Arial"/>
                <w:color w:val="000000"/>
                <w:sz w:val="22"/>
                <w:szCs w:val="22"/>
              </w:rPr>
              <w:t>31.7</w:t>
            </w:r>
          </w:p>
        </w:tc>
        <w:tc>
          <w:tcPr>
            <w:tcW w:w="828" w:type="dxa"/>
            <w:vAlign w:val="bottom"/>
          </w:tcPr>
          <w:p w:rsidR="00E45150" w:rsidRPr="00D84D4B" w:rsidRDefault="00E45150" w:rsidP="00041054">
            <w:pPr>
              <w:jc w:val="right"/>
              <w:rPr>
                <w:rFonts w:ascii="Arial" w:hAnsi="Arial" w:cs="Arial"/>
                <w:color w:val="000000"/>
                <w:sz w:val="22"/>
                <w:szCs w:val="22"/>
              </w:rPr>
            </w:pPr>
            <w:r w:rsidRPr="00D84D4B">
              <w:rPr>
                <w:rFonts w:ascii="Arial" w:hAnsi="Arial" w:cs="Arial"/>
                <w:color w:val="000000"/>
                <w:sz w:val="22"/>
                <w:szCs w:val="22"/>
              </w:rPr>
              <w:t>8.3</w:t>
            </w:r>
          </w:p>
        </w:tc>
        <w:tc>
          <w:tcPr>
            <w:tcW w:w="930" w:type="dxa"/>
            <w:vAlign w:val="bottom"/>
          </w:tcPr>
          <w:p w:rsidR="00E45150" w:rsidRPr="00D84D4B" w:rsidRDefault="00E45150" w:rsidP="00041054">
            <w:pPr>
              <w:jc w:val="right"/>
              <w:rPr>
                <w:rFonts w:ascii="Arial" w:hAnsi="Arial" w:cs="Arial"/>
                <w:color w:val="000000"/>
                <w:sz w:val="22"/>
                <w:szCs w:val="22"/>
              </w:rPr>
            </w:pPr>
            <w:r w:rsidRPr="00D84D4B">
              <w:rPr>
                <w:rFonts w:ascii="Arial" w:hAnsi="Arial" w:cs="Arial"/>
                <w:color w:val="000000"/>
                <w:sz w:val="22"/>
                <w:szCs w:val="22"/>
              </w:rPr>
              <w:t>111</w:t>
            </w:r>
          </w:p>
        </w:tc>
        <w:tc>
          <w:tcPr>
            <w:tcW w:w="930" w:type="dxa"/>
            <w:vAlign w:val="bottom"/>
          </w:tcPr>
          <w:p w:rsidR="00E45150" w:rsidRPr="00D84D4B" w:rsidRDefault="00E45150" w:rsidP="00041054">
            <w:pPr>
              <w:jc w:val="right"/>
              <w:rPr>
                <w:rFonts w:ascii="Arial" w:hAnsi="Arial" w:cs="Arial"/>
                <w:color w:val="000000"/>
                <w:sz w:val="22"/>
                <w:szCs w:val="22"/>
              </w:rPr>
            </w:pPr>
            <w:r w:rsidRPr="00D84D4B">
              <w:rPr>
                <w:rFonts w:ascii="Arial" w:hAnsi="Arial" w:cs="Arial"/>
                <w:color w:val="000000"/>
                <w:sz w:val="22"/>
                <w:szCs w:val="22"/>
              </w:rPr>
              <w:t>126</w:t>
            </w:r>
          </w:p>
        </w:tc>
        <w:tc>
          <w:tcPr>
            <w:tcW w:w="930" w:type="dxa"/>
            <w:vAlign w:val="bottom"/>
          </w:tcPr>
          <w:p w:rsidR="00E45150" w:rsidRPr="00D84D4B" w:rsidRDefault="00E45150" w:rsidP="00041054">
            <w:pPr>
              <w:jc w:val="right"/>
              <w:rPr>
                <w:rFonts w:ascii="Arial" w:hAnsi="Arial" w:cs="Arial"/>
                <w:color w:val="000000"/>
                <w:sz w:val="22"/>
                <w:szCs w:val="22"/>
              </w:rPr>
            </w:pPr>
            <w:r w:rsidRPr="00D84D4B">
              <w:rPr>
                <w:rFonts w:ascii="Arial" w:hAnsi="Arial" w:cs="Arial"/>
                <w:color w:val="000000"/>
                <w:sz w:val="22"/>
                <w:szCs w:val="22"/>
              </w:rPr>
              <w:t>126</w:t>
            </w:r>
          </w:p>
        </w:tc>
        <w:tc>
          <w:tcPr>
            <w:tcW w:w="930" w:type="dxa"/>
            <w:vAlign w:val="bottom"/>
          </w:tcPr>
          <w:p w:rsidR="00E45150" w:rsidRPr="00D84D4B" w:rsidRDefault="00E45150" w:rsidP="00041054">
            <w:pPr>
              <w:jc w:val="right"/>
              <w:rPr>
                <w:rFonts w:ascii="Arial" w:hAnsi="Arial" w:cs="Arial"/>
                <w:color w:val="000000"/>
                <w:sz w:val="22"/>
                <w:szCs w:val="22"/>
              </w:rPr>
            </w:pPr>
            <w:r w:rsidRPr="00D84D4B">
              <w:rPr>
                <w:rFonts w:ascii="Arial" w:hAnsi="Arial" w:cs="Arial"/>
                <w:color w:val="000000"/>
                <w:sz w:val="22"/>
                <w:szCs w:val="22"/>
              </w:rPr>
              <w:t>40.00</w:t>
            </w:r>
          </w:p>
        </w:tc>
      </w:tr>
    </w:tbl>
    <w:p w:rsidR="004276A0" w:rsidRPr="00D84D4B" w:rsidRDefault="00E45150" w:rsidP="004276A0">
      <w:pPr>
        <w:pStyle w:val="BodyText2"/>
        <w:spacing w:line="360" w:lineRule="auto"/>
        <w:ind w:left="720"/>
        <w:jc w:val="both"/>
        <w:rPr>
          <w:rFonts w:cs="Arial"/>
          <w:color w:val="000000"/>
          <w:sz w:val="22"/>
          <w:szCs w:val="22"/>
        </w:rPr>
      </w:pPr>
      <w:r w:rsidRPr="00D84D4B">
        <w:rPr>
          <w:rFonts w:cs="Arial"/>
          <w:color w:val="000000"/>
          <w:sz w:val="22"/>
          <w:szCs w:val="22"/>
        </w:rPr>
        <w:t>Accordingly the licensee submits for approval of Rs 3.89 Cr towards capex and Rs 1.11 Crs as operational expenses towards ERP implementation</w:t>
      </w:r>
    </w:p>
    <w:p w:rsidR="004276A0" w:rsidRPr="00D84D4B" w:rsidRDefault="004276A0" w:rsidP="000334F1">
      <w:pPr>
        <w:pStyle w:val="Heading1"/>
        <w:numPr>
          <w:ilvl w:val="2"/>
          <w:numId w:val="1"/>
        </w:numPr>
        <w:spacing w:line="360" w:lineRule="auto"/>
        <w:jc w:val="both"/>
        <w:rPr>
          <w:sz w:val="22"/>
          <w:szCs w:val="22"/>
          <w:lang w:val="en-GB"/>
        </w:rPr>
      </w:pPr>
      <w:bookmarkStart w:id="17" w:name="_Toc404940143"/>
      <w:r w:rsidRPr="00D84D4B">
        <w:rPr>
          <w:sz w:val="22"/>
          <w:szCs w:val="22"/>
        </w:rPr>
        <w:t>Cess as per the Building and other construction Workers (RE&amp;CS)Act, 1996</w:t>
      </w:r>
      <w:bookmarkEnd w:id="17"/>
    </w:p>
    <w:p w:rsidR="004276A0" w:rsidRPr="00D84D4B" w:rsidRDefault="004276A0" w:rsidP="00D8758A">
      <w:pPr>
        <w:spacing w:line="360" w:lineRule="auto"/>
        <w:jc w:val="both"/>
        <w:rPr>
          <w:rFonts w:ascii="Arial" w:hAnsi="Arial" w:cs="Arial"/>
          <w:color w:val="000000"/>
          <w:sz w:val="22"/>
          <w:szCs w:val="22"/>
        </w:rPr>
      </w:pPr>
      <w:r w:rsidRPr="00D84D4B">
        <w:rPr>
          <w:rFonts w:ascii="Arial" w:hAnsi="Arial" w:cs="Arial"/>
          <w:color w:val="000000"/>
          <w:sz w:val="22"/>
          <w:szCs w:val="22"/>
        </w:rPr>
        <w:t>The Building and other construction Workers (RE&amp;CS)Act, 1996 and Building and other construction Workers Welfare Cess Act, 1996 and Rules made there under to regulate the employment and conditions of service of building and other construction workers and to provide for their safety, health and welfare measure and for other matter connected therewith or incidental thereto.</w:t>
      </w:r>
      <w:r w:rsidR="00D8758A" w:rsidRPr="00D84D4B">
        <w:rPr>
          <w:rFonts w:ascii="Arial" w:hAnsi="Arial" w:cs="Arial"/>
          <w:color w:val="000000"/>
          <w:sz w:val="22"/>
          <w:szCs w:val="22"/>
        </w:rPr>
        <w:t xml:space="preserve"> In compliance with the same, the Discoms have deposited amounts on a provisional basis. Accordingly, </w:t>
      </w:r>
      <w:r w:rsidR="00E45150" w:rsidRPr="00D84D4B">
        <w:rPr>
          <w:rFonts w:ascii="Arial" w:hAnsi="Arial" w:cs="Arial"/>
          <w:color w:val="000000"/>
          <w:sz w:val="22"/>
          <w:szCs w:val="22"/>
        </w:rPr>
        <w:t>as per the provisions of the Act, the Licensee is required to deposit 1% cess on the construction carried out during the year. Accordingly the Licensee proposes Rs</w:t>
      </w:r>
      <w:r w:rsidR="00BB18BE" w:rsidRPr="00D84D4B">
        <w:rPr>
          <w:rFonts w:ascii="Arial" w:hAnsi="Arial" w:cs="Arial"/>
          <w:color w:val="000000"/>
          <w:sz w:val="22"/>
          <w:szCs w:val="22"/>
        </w:rPr>
        <w:t>2.22</w:t>
      </w:r>
      <w:r w:rsidR="00E45150" w:rsidRPr="00D84D4B">
        <w:rPr>
          <w:rFonts w:ascii="Arial" w:hAnsi="Arial" w:cs="Arial"/>
          <w:color w:val="000000"/>
          <w:sz w:val="22"/>
          <w:szCs w:val="22"/>
        </w:rPr>
        <w:t xml:space="preserve"> Crore of cess during ensuing year 2015-16.</w:t>
      </w:r>
    </w:p>
    <w:p w:rsidR="004276A0" w:rsidRDefault="004276A0" w:rsidP="004276A0">
      <w:pPr>
        <w:pStyle w:val="Caption"/>
        <w:keepNext/>
        <w:spacing w:line="360" w:lineRule="auto"/>
        <w:rPr>
          <w:rFonts w:ascii="Cambria" w:hAnsi="Cambria" w:cs="Arial"/>
          <w:b/>
          <w:sz w:val="24"/>
          <w:szCs w:val="24"/>
        </w:rPr>
      </w:pPr>
      <w:r w:rsidRPr="00BF0E9D">
        <w:rPr>
          <w:rFonts w:ascii="Cambria" w:hAnsi="Cambria" w:cs="Arial"/>
          <w:b/>
          <w:sz w:val="24"/>
          <w:szCs w:val="24"/>
        </w:rPr>
        <w:t>Additional A&amp;G Cost for FY 2015-16.</w:t>
      </w:r>
    </w:p>
    <w:p w:rsidR="00BB18BE" w:rsidRDefault="00BB18BE" w:rsidP="00BB18BE">
      <w:pPr>
        <w:rPr>
          <w:lang w:val="en-GB"/>
        </w:rPr>
      </w:pPr>
    </w:p>
    <w:tbl>
      <w:tblPr>
        <w:tblW w:w="8470" w:type="dxa"/>
        <w:tblInd w:w="98" w:type="dxa"/>
        <w:tblLook w:val="04A0"/>
      </w:tblPr>
      <w:tblGrid>
        <w:gridCol w:w="718"/>
        <w:gridCol w:w="5952"/>
        <w:gridCol w:w="1800"/>
      </w:tblGrid>
      <w:tr w:rsidR="00DA7624" w:rsidRPr="00AD0FEA" w:rsidTr="00DA7624">
        <w:trPr>
          <w:trHeight w:val="915"/>
        </w:trPr>
        <w:tc>
          <w:tcPr>
            <w:tcW w:w="718" w:type="dxa"/>
            <w:tcBorders>
              <w:top w:val="single" w:sz="8" w:space="0" w:color="000080"/>
              <w:left w:val="single" w:sz="8" w:space="0" w:color="000080"/>
              <w:bottom w:val="single" w:sz="8" w:space="0" w:color="000080"/>
              <w:right w:val="single" w:sz="8" w:space="0" w:color="000080"/>
            </w:tcBorders>
            <w:shd w:val="clear" w:color="000000" w:fill="000080"/>
            <w:hideMark/>
          </w:tcPr>
          <w:p w:rsidR="00DA7624" w:rsidRPr="00B41B4E" w:rsidRDefault="00DA7624" w:rsidP="00AE0BAB">
            <w:pPr>
              <w:jc w:val="both"/>
              <w:rPr>
                <w:rFonts w:ascii="Arial" w:hAnsi="Arial" w:cs="Arial"/>
                <w:b/>
                <w:bCs/>
                <w:color w:val="FFFFFF"/>
                <w:sz w:val="22"/>
                <w:szCs w:val="22"/>
              </w:rPr>
            </w:pPr>
            <w:r w:rsidRPr="00B41B4E">
              <w:rPr>
                <w:rFonts w:ascii="Arial" w:hAnsi="Arial" w:cs="Arial"/>
                <w:b/>
                <w:bCs/>
                <w:color w:val="FFFFFF"/>
                <w:sz w:val="22"/>
                <w:szCs w:val="22"/>
                <w:lang w:val="en-GB"/>
              </w:rPr>
              <w:t>S.No</w:t>
            </w:r>
          </w:p>
        </w:tc>
        <w:tc>
          <w:tcPr>
            <w:tcW w:w="5952" w:type="dxa"/>
            <w:tcBorders>
              <w:top w:val="single" w:sz="8" w:space="0" w:color="000080"/>
              <w:left w:val="nil"/>
              <w:bottom w:val="single" w:sz="8" w:space="0" w:color="000080"/>
              <w:right w:val="single" w:sz="8" w:space="0" w:color="000080"/>
            </w:tcBorders>
            <w:shd w:val="clear" w:color="000000" w:fill="000080"/>
            <w:hideMark/>
          </w:tcPr>
          <w:p w:rsidR="00DA7624" w:rsidRPr="00B41B4E" w:rsidRDefault="00DA7624" w:rsidP="00AE0BAB">
            <w:pPr>
              <w:jc w:val="both"/>
              <w:rPr>
                <w:rFonts w:ascii="Arial" w:hAnsi="Arial" w:cs="Arial"/>
                <w:b/>
                <w:bCs/>
                <w:color w:val="FFFFFF"/>
                <w:sz w:val="22"/>
                <w:szCs w:val="22"/>
              </w:rPr>
            </w:pPr>
            <w:r w:rsidRPr="00B41B4E">
              <w:rPr>
                <w:rFonts w:ascii="Arial" w:hAnsi="Arial" w:cs="Arial"/>
                <w:b/>
                <w:bCs/>
                <w:color w:val="FFFFFF"/>
                <w:sz w:val="22"/>
                <w:szCs w:val="22"/>
                <w:lang w:val="en-GB"/>
              </w:rPr>
              <w:t>Description</w:t>
            </w:r>
          </w:p>
        </w:tc>
        <w:tc>
          <w:tcPr>
            <w:tcW w:w="1800" w:type="dxa"/>
            <w:tcBorders>
              <w:top w:val="single" w:sz="8" w:space="0" w:color="000080"/>
              <w:left w:val="nil"/>
              <w:bottom w:val="single" w:sz="8" w:space="0" w:color="000080"/>
              <w:right w:val="single" w:sz="8" w:space="0" w:color="000080"/>
            </w:tcBorders>
            <w:shd w:val="clear" w:color="000000" w:fill="000080"/>
            <w:hideMark/>
          </w:tcPr>
          <w:p w:rsidR="00DA7624" w:rsidRPr="00B41B4E" w:rsidRDefault="00DA7624" w:rsidP="00AE0BAB">
            <w:pPr>
              <w:jc w:val="both"/>
              <w:rPr>
                <w:rFonts w:ascii="Arial" w:hAnsi="Arial" w:cs="Arial"/>
                <w:b/>
                <w:bCs/>
                <w:color w:val="FFFFFF"/>
                <w:sz w:val="22"/>
                <w:szCs w:val="22"/>
              </w:rPr>
            </w:pPr>
            <w:r w:rsidRPr="00B41B4E">
              <w:rPr>
                <w:rFonts w:ascii="Arial" w:hAnsi="Arial" w:cs="Arial"/>
                <w:b/>
                <w:bCs/>
                <w:color w:val="FFFFFF"/>
                <w:sz w:val="22"/>
                <w:szCs w:val="22"/>
                <w:lang w:val="en-GB"/>
              </w:rPr>
              <w:t>Amount (Rs Lacs)</w:t>
            </w:r>
          </w:p>
        </w:tc>
      </w:tr>
      <w:tr w:rsidR="00DA7624" w:rsidRPr="00B41B4E" w:rsidTr="00DA7624">
        <w:trPr>
          <w:trHeight w:val="250"/>
        </w:trPr>
        <w:tc>
          <w:tcPr>
            <w:tcW w:w="718" w:type="dxa"/>
            <w:tcBorders>
              <w:top w:val="nil"/>
              <w:left w:val="single" w:sz="8" w:space="0" w:color="000080"/>
              <w:bottom w:val="single" w:sz="8" w:space="0" w:color="000080"/>
              <w:right w:val="single" w:sz="8" w:space="0" w:color="000080"/>
            </w:tcBorders>
            <w:shd w:val="clear" w:color="000000" w:fill="FFFFFF"/>
            <w:hideMark/>
          </w:tcPr>
          <w:p w:rsidR="00DA7624" w:rsidRPr="00B41B4E" w:rsidRDefault="00DA7624" w:rsidP="00AE0BAB">
            <w:pPr>
              <w:jc w:val="center"/>
              <w:rPr>
                <w:rFonts w:ascii="Arial" w:hAnsi="Arial" w:cs="Arial"/>
                <w:sz w:val="22"/>
                <w:szCs w:val="22"/>
              </w:rPr>
            </w:pPr>
            <w:r>
              <w:rPr>
                <w:rFonts w:ascii="Arial" w:hAnsi="Arial" w:cs="Arial"/>
                <w:sz w:val="22"/>
                <w:szCs w:val="22"/>
                <w:lang w:val="en-GB"/>
              </w:rPr>
              <w:t>1</w:t>
            </w:r>
          </w:p>
        </w:tc>
        <w:tc>
          <w:tcPr>
            <w:tcW w:w="5952" w:type="dxa"/>
            <w:tcBorders>
              <w:top w:val="nil"/>
              <w:left w:val="nil"/>
              <w:bottom w:val="single" w:sz="8" w:space="0" w:color="000080"/>
              <w:right w:val="single" w:sz="8" w:space="0" w:color="000080"/>
            </w:tcBorders>
            <w:shd w:val="clear" w:color="000000" w:fill="FFFFFF"/>
            <w:hideMark/>
          </w:tcPr>
          <w:p w:rsidR="00DA7624" w:rsidRPr="00B41B4E" w:rsidRDefault="00DA7624" w:rsidP="00AE0BAB">
            <w:pPr>
              <w:jc w:val="both"/>
              <w:rPr>
                <w:rFonts w:ascii="Arial" w:hAnsi="Arial" w:cs="Arial"/>
                <w:sz w:val="22"/>
                <w:szCs w:val="22"/>
              </w:rPr>
            </w:pPr>
            <w:r w:rsidRPr="00B41B4E">
              <w:rPr>
                <w:rFonts w:ascii="Arial" w:hAnsi="Arial" w:cs="Arial"/>
                <w:sz w:val="22"/>
                <w:szCs w:val="22"/>
                <w:lang w:val="en-GB"/>
              </w:rPr>
              <w:t>Energy Audit-Recurring cost</w:t>
            </w:r>
          </w:p>
        </w:tc>
        <w:tc>
          <w:tcPr>
            <w:tcW w:w="1800" w:type="dxa"/>
            <w:tcBorders>
              <w:top w:val="nil"/>
              <w:left w:val="nil"/>
              <w:bottom w:val="single" w:sz="8" w:space="0" w:color="000080"/>
              <w:right w:val="single" w:sz="8" w:space="0" w:color="000080"/>
            </w:tcBorders>
            <w:shd w:val="clear" w:color="000000" w:fill="FFFFFF"/>
            <w:hideMark/>
          </w:tcPr>
          <w:p w:rsidR="00DA7624" w:rsidRPr="00B41B4E" w:rsidRDefault="00DA7624" w:rsidP="00AE0BAB">
            <w:pPr>
              <w:jc w:val="right"/>
              <w:rPr>
                <w:rFonts w:ascii="Arial" w:hAnsi="Arial" w:cs="Arial"/>
                <w:sz w:val="22"/>
                <w:szCs w:val="22"/>
              </w:rPr>
            </w:pPr>
            <w:r w:rsidRPr="00B41B4E">
              <w:rPr>
                <w:rFonts w:ascii="Arial" w:hAnsi="Arial" w:cs="Arial"/>
                <w:sz w:val="22"/>
                <w:szCs w:val="22"/>
                <w:lang w:val="en-GB"/>
              </w:rPr>
              <w:t>26.23</w:t>
            </w:r>
          </w:p>
        </w:tc>
      </w:tr>
      <w:tr w:rsidR="00DA7624" w:rsidRPr="00B41B4E" w:rsidTr="00DA7624">
        <w:trPr>
          <w:trHeight w:val="241"/>
        </w:trPr>
        <w:tc>
          <w:tcPr>
            <w:tcW w:w="718" w:type="dxa"/>
            <w:tcBorders>
              <w:top w:val="nil"/>
              <w:left w:val="single" w:sz="8" w:space="0" w:color="000080"/>
              <w:bottom w:val="single" w:sz="8" w:space="0" w:color="000080"/>
              <w:right w:val="single" w:sz="8" w:space="0" w:color="000080"/>
            </w:tcBorders>
            <w:shd w:val="clear" w:color="000000" w:fill="FFFFFF"/>
            <w:hideMark/>
          </w:tcPr>
          <w:p w:rsidR="00DA7624" w:rsidRPr="00B41B4E" w:rsidRDefault="00DA7624" w:rsidP="00AE0BAB">
            <w:pPr>
              <w:jc w:val="center"/>
              <w:rPr>
                <w:rFonts w:ascii="Arial" w:hAnsi="Arial" w:cs="Arial"/>
                <w:sz w:val="22"/>
                <w:szCs w:val="22"/>
              </w:rPr>
            </w:pPr>
            <w:r>
              <w:rPr>
                <w:rFonts w:ascii="Arial" w:hAnsi="Arial" w:cs="Arial"/>
                <w:sz w:val="22"/>
                <w:szCs w:val="22"/>
                <w:lang w:val="en-GB"/>
              </w:rPr>
              <w:t>2</w:t>
            </w:r>
          </w:p>
        </w:tc>
        <w:tc>
          <w:tcPr>
            <w:tcW w:w="5952" w:type="dxa"/>
            <w:tcBorders>
              <w:top w:val="nil"/>
              <w:left w:val="nil"/>
              <w:bottom w:val="single" w:sz="8" w:space="0" w:color="000080"/>
              <w:right w:val="single" w:sz="8" w:space="0" w:color="000080"/>
            </w:tcBorders>
            <w:shd w:val="clear" w:color="000000" w:fill="FFFFFF"/>
            <w:hideMark/>
          </w:tcPr>
          <w:p w:rsidR="00DA7624" w:rsidRPr="00B41B4E" w:rsidRDefault="00DA7624" w:rsidP="00AE0BAB">
            <w:pPr>
              <w:jc w:val="both"/>
              <w:rPr>
                <w:rFonts w:ascii="Arial" w:hAnsi="Arial" w:cs="Arial"/>
                <w:sz w:val="22"/>
                <w:szCs w:val="22"/>
              </w:rPr>
            </w:pPr>
            <w:r w:rsidRPr="00B41B4E">
              <w:rPr>
                <w:rFonts w:ascii="Arial" w:hAnsi="Arial" w:cs="Arial"/>
                <w:sz w:val="22"/>
                <w:szCs w:val="22"/>
                <w:lang w:val="en-GB"/>
              </w:rPr>
              <w:t>Implementation of Right to Information Act</w:t>
            </w:r>
          </w:p>
        </w:tc>
        <w:tc>
          <w:tcPr>
            <w:tcW w:w="1800" w:type="dxa"/>
            <w:tcBorders>
              <w:top w:val="nil"/>
              <w:left w:val="nil"/>
              <w:bottom w:val="single" w:sz="8" w:space="0" w:color="000080"/>
              <w:right w:val="single" w:sz="8" w:space="0" w:color="000080"/>
            </w:tcBorders>
            <w:shd w:val="clear" w:color="000000" w:fill="FFFFFF"/>
            <w:hideMark/>
          </w:tcPr>
          <w:p w:rsidR="00DA7624" w:rsidRPr="00B41B4E" w:rsidRDefault="00DA7624" w:rsidP="00AE0BAB">
            <w:pPr>
              <w:jc w:val="right"/>
              <w:rPr>
                <w:rFonts w:ascii="Arial" w:hAnsi="Arial" w:cs="Arial"/>
                <w:sz w:val="22"/>
                <w:szCs w:val="22"/>
              </w:rPr>
            </w:pPr>
            <w:r w:rsidRPr="00B41B4E">
              <w:rPr>
                <w:rFonts w:ascii="Arial" w:hAnsi="Arial" w:cs="Arial"/>
                <w:sz w:val="22"/>
                <w:szCs w:val="22"/>
                <w:lang w:val="en-GB"/>
              </w:rPr>
              <w:t>25.61</w:t>
            </w:r>
          </w:p>
        </w:tc>
      </w:tr>
      <w:tr w:rsidR="00DA7624" w:rsidRPr="00B41B4E" w:rsidTr="00DA7624">
        <w:trPr>
          <w:trHeight w:val="331"/>
        </w:trPr>
        <w:tc>
          <w:tcPr>
            <w:tcW w:w="718" w:type="dxa"/>
            <w:tcBorders>
              <w:top w:val="nil"/>
              <w:left w:val="single" w:sz="8" w:space="0" w:color="000080"/>
              <w:bottom w:val="single" w:sz="8" w:space="0" w:color="000080"/>
              <w:right w:val="single" w:sz="8" w:space="0" w:color="000080"/>
            </w:tcBorders>
            <w:shd w:val="clear" w:color="000000" w:fill="FFFFFF"/>
            <w:hideMark/>
          </w:tcPr>
          <w:p w:rsidR="00DA7624" w:rsidRPr="00B41B4E" w:rsidRDefault="00DA7624" w:rsidP="00AE0BAB">
            <w:pPr>
              <w:jc w:val="center"/>
              <w:rPr>
                <w:rFonts w:ascii="Arial" w:hAnsi="Arial" w:cs="Arial"/>
                <w:sz w:val="22"/>
                <w:szCs w:val="22"/>
              </w:rPr>
            </w:pPr>
            <w:r>
              <w:rPr>
                <w:rFonts w:ascii="Arial" w:hAnsi="Arial" w:cs="Arial"/>
                <w:sz w:val="22"/>
                <w:szCs w:val="22"/>
                <w:lang w:val="en-GB"/>
              </w:rPr>
              <w:t>3</w:t>
            </w:r>
          </w:p>
        </w:tc>
        <w:tc>
          <w:tcPr>
            <w:tcW w:w="5952" w:type="dxa"/>
            <w:tcBorders>
              <w:top w:val="nil"/>
              <w:left w:val="nil"/>
              <w:bottom w:val="single" w:sz="8" w:space="0" w:color="000080"/>
              <w:right w:val="single" w:sz="8" w:space="0" w:color="000080"/>
            </w:tcBorders>
            <w:shd w:val="clear" w:color="000000" w:fill="FFFFFF"/>
            <w:hideMark/>
          </w:tcPr>
          <w:p w:rsidR="00DA7624" w:rsidRPr="00B41B4E" w:rsidRDefault="00DA7624" w:rsidP="00AE0BAB">
            <w:pPr>
              <w:jc w:val="both"/>
              <w:rPr>
                <w:rFonts w:ascii="Arial" w:hAnsi="Arial" w:cs="Arial"/>
                <w:sz w:val="22"/>
                <w:szCs w:val="22"/>
              </w:rPr>
            </w:pPr>
            <w:r w:rsidRPr="00B41B4E">
              <w:rPr>
                <w:rFonts w:ascii="Arial" w:hAnsi="Arial" w:cs="Arial"/>
                <w:sz w:val="22"/>
                <w:szCs w:val="22"/>
                <w:lang w:val="en-GB"/>
              </w:rPr>
              <w:t>Cess on building construction and electrical installation</w:t>
            </w:r>
          </w:p>
        </w:tc>
        <w:tc>
          <w:tcPr>
            <w:tcW w:w="1800" w:type="dxa"/>
            <w:tcBorders>
              <w:top w:val="nil"/>
              <w:left w:val="nil"/>
              <w:bottom w:val="single" w:sz="8" w:space="0" w:color="000080"/>
              <w:right w:val="single" w:sz="8" w:space="0" w:color="000080"/>
            </w:tcBorders>
            <w:shd w:val="clear" w:color="000000" w:fill="FFFFFF"/>
            <w:hideMark/>
          </w:tcPr>
          <w:p w:rsidR="00DA7624" w:rsidRPr="00B41B4E" w:rsidRDefault="00DA7624" w:rsidP="00AE0BAB">
            <w:pPr>
              <w:jc w:val="right"/>
              <w:rPr>
                <w:rFonts w:ascii="Arial" w:hAnsi="Arial" w:cs="Arial"/>
                <w:sz w:val="22"/>
                <w:szCs w:val="22"/>
              </w:rPr>
            </w:pPr>
            <w:r>
              <w:rPr>
                <w:rFonts w:ascii="Arial" w:hAnsi="Arial" w:cs="Arial"/>
                <w:sz w:val="22"/>
                <w:szCs w:val="22"/>
                <w:lang w:val="en-GB"/>
              </w:rPr>
              <w:t>221.74</w:t>
            </w:r>
          </w:p>
        </w:tc>
      </w:tr>
      <w:tr w:rsidR="00DA7624" w:rsidRPr="00B41B4E" w:rsidTr="00DA7624">
        <w:trPr>
          <w:trHeight w:val="349"/>
        </w:trPr>
        <w:tc>
          <w:tcPr>
            <w:tcW w:w="718" w:type="dxa"/>
            <w:tcBorders>
              <w:top w:val="nil"/>
              <w:left w:val="single" w:sz="8" w:space="0" w:color="000080"/>
              <w:bottom w:val="single" w:sz="8" w:space="0" w:color="000080"/>
              <w:right w:val="single" w:sz="8" w:space="0" w:color="000080"/>
            </w:tcBorders>
            <w:shd w:val="clear" w:color="000000" w:fill="FFFFFF"/>
            <w:hideMark/>
          </w:tcPr>
          <w:p w:rsidR="00DA7624" w:rsidRPr="00B41B4E" w:rsidRDefault="00DA7624" w:rsidP="00AE0BAB">
            <w:pPr>
              <w:jc w:val="center"/>
              <w:rPr>
                <w:rFonts w:ascii="Arial" w:hAnsi="Arial" w:cs="Arial"/>
                <w:sz w:val="22"/>
                <w:szCs w:val="22"/>
              </w:rPr>
            </w:pPr>
            <w:r>
              <w:rPr>
                <w:rFonts w:ascii="Arial" w:hAnsi="Arial" w:cs="Arial"/>
                <w:sz w:val="22"/>
                <w:szCs w:val="22"/>
                <w:lang w:val="en-GB"/>
              </w:rPr>
              <w:t>4</w:t>
            </w:r>
          </w:p>
        </w:tc>
        <w:tc>
          <w:tcPr>
            <w:tcW w:w="5952" w:type="dxa"/>
            <w:tcBorders>
              <w:top w:val="nil"/>
              <w:left w:val="nil"/>
              <w:bottom w:val="single" w:sz="8" w:space="0" w:color="000080"/>
              <w:right w:val="single" w:sz="8" w:space="0" w:color="000080"/>
            </w:tcBorders>
            <w:shd w:val="clear" w:color="000000" w:fill="FFFFFF"/>
            <w:hideMark/>
          </w:tcPr>
          <w:p w:rsidR="00DA7624" w:rsidRPr="00B41B4E" w:rsidRDefault="00DA7624" w:rsidP="00AE0BAB">
            <w:pPr>
              <w:jc w:val="both"/>
              <w:rPr>
                <w:rFonts w:ascii="Arial" w:hAnsi="Arial" w:cs="Arial"/>
                <w:sz w:val="22"/>
                <w:szCs w:val="22"/>
              </w:rPr>
            </w:pPr>
            <w:r w:rsidRPr="00B41B4E">
              <w:rPr>
                <w:rFonts w:ascii="Arial" w:hAnsi="Arial" w:cs="Arial"/>
                <w:sz w:val="22"/>
                <w:szCs w:val="22"/>
                <w:lang w:val="en-GB"/>
              </w:rPr>
              <w:t>Energy Police Station</w:t>
            </w:r>
          </w:p>
        </w:tc>
        <w:tc>
          <w:tcPr>
            <w:tcW w:w="1800" w:type="dxa"/>
            <w:tcBorders>
              <w:top w:val="nil"/>
              <w:left w:val="nil"/>
              <w:bottom w:val="single" w:sz="8" w:space="0" w:color="000080"/>
              <w:right w:val="single" w:sz="8" w:space="0" w:color="000080"/>
            </w:tcBorders>
            <w:shd w:val="clear" w:color="000000" w:fill="FFFFFF"/>
            <w:hideMark/>
          </w:tcPr>
          <w:p w:rsidR="00DA7624" w:rsidRPr="00B41B4E" w:rsidRDefault="00DA7624" w:rsidP="00AE0BAB">
            <w:pPr>
              <w:jc w:val="right"/>
              <w:rPr>
                <w:rFonts w:ascii="Arial" w:hAnsi="Arial" w:cs="Arial"/>
                <w:sz w:val="22"/>
                <w:szCs w:val="22"/>
              </w:rPr>
            </w:pPr>
            <w:r w:rsidRPr="00B41B4E">
              <w:rPr>
                <w:rFonts w:ascii="Arial" w:hAnsi="Arial" w:cs="Arial"/>
                <w:sz w:val="22"/>
                <w:szCs w:val="22"/>
                <w:lang w:val="en-GB"/>
              </w:rPr>
              <w:t>227.09</w:t>
            </w:r>
          </w:p>
        </w:tc>
      </w:tr>
      <w:tr w:rsidR="00DA7624" w:rsidRPr="00B41B4E" w:rsidTr="00DA7624">
        <w:trPr>
          <w:trHeight w:val="331"/>
        </w:trPr>
        <w:tc>
          <w:tcPr>
            <w:tcW w:w="718" w:type="dxa"/>
            <w:tcBorders>
              <w:top w:val="nil"/>
              <w:left w:val="single" w:sz="8" w:space="0" w:color="000080"/>
              <w:bottom w:val="single" w:sz="8" w:space="0" w:color="000080"/>
              <w:right w:val="single" w:sz="8" w:space="0" w:color="000080"/>
            </w:tcBorders>
            <w:shd w:val="clear" w:color="000000" w:fill="FFFFFF"/>
            <w:hideMark/>
          </w:tcPr>
          <w:p w:rsidR="00DA7624" w:rsidRPr="00B41B4E" w:rsidRDefault="00DA7624" w:rsidP="00AE0BAB">
            <w:pPr>
              <w:jc w:val="center"/>
              <w:rPr>
                <w:rFonts w:ascii="Arial" w:hAnsi="Arial" w:cs="Arial"/>
                <w:sz w:val="22"/>
                <w:szCs w:val="22"/>
              </w:rPr>
            </w:pPr>
            <w:r>
              <w:rPr>
                <w:rFonts w:ascii="Arial" w:hAnsi="Arial" w:cs="Arial"/>
                <w:sz w:val="22"/>
                <w:szCs w:val="22"/>
                <w:lang w:val="en-GB"/>
              </w:rPr>
              <w:t>5</w:t>
            </w:r>
          </w:p>
        </w:tc>
        <w:tc>
          <w:tcPr>
            <w:tcW w:w="5952" w:type="dxa"/>
            <w:tcBorders>
              <w:top w:val="nil"/>
              <w:left w:val="nil"/>
              <w:bottom w:val="single" w:sz="8" w:space="0" w:color="000080"/>
              <w:right w:val="single" w:sz="8" w:space="0" w:color="000080"/>
            </w:tcBorders>
            <w:shd w:val="clear" w:color="000000" w:fill="FFFFFF"/>
            <w:hideMark/>
          </w:tcPr>
          <w:p w:rsidR="00DA7624" w:rsidRPr="00B41B4E" w:rsidRDefault="00DA7624" w:rsidP="00AE0BAB">
            <w:pPr>
              <w:jc w:val="both"/>
              <w:rPr>
                <w:rFonts w:ascii="Arial" w:hAnsi="Arial" w:cs="Arial"/>
                <w:sz w:val="22"/>
                <w:szCs w:val="22"/>
              </w:rPr>
            </w:pPr>
            <w:r w:rsidRPr="00B41B4E">
              <w:rPr>
                <w:rFonts w:ascii="Arial" w:hAnsi="Arial" w:cs="Arial"/>
                <w:sz w:val="22"/>
                <w:szCs w:val="22"/>
                <w:lang w:val="en-GB"/>
              </w:rPr>
              <w:t xml:space="preserve">Implementation of Intra State ABT </w:t>
            </w:r>
          </w:p>
        </w:tc>
        <w:tc>
          <w:tcPr>
            <w:tcW w:w="1800" w:type="dxa"/>
            <w:tcBorders>
              <w:top w:val="nil"/>
              <w:left w:val="nil"/>
              <w:bottom w:val="single" w:sz="8" w:space="0" w:color="000080"/>
              <w:right w:val="single" w:sz="8" w:space="0" w:color="000080"/>
            </w:tcBorders>
            <w:shd w:val="clear" w:color="000000" w:fill="FFFFFF"/>
            <w:hideMark/>
          </w:tcPr>
          <w:p w:rsidR="00DA7624" w:rsidRPr="00B41B4E" w:rsidRDefault="00DA7624" w:rsidP="00AE0BAB">
            <w:pPr>
              <w:jc w:val="right"/>
              <w:rPr>
                <w:rFonts w:ascii="Arial" w:hAnsi="Arial" w:cs="Arial"/>
                <w:sz w:val="22"/>
                <w:szCs w:val="22"/>
              </w:rPr>
            </w:pPr>
            <w:r w:rsidRPr="00B41B4E">
              <w:rPr>
                <w:rFonts w:ascii="Arial" w:hAnsi="Arial" w:cs="Arial"/>
                <w:sz w:val="22"/>
                <w:szCs w:val="22"/>
                <w:lang w:val="en-GB"/>
              </w:rPr>
              <w:t>57.60</w:t>
            </w:r>
          </w:p>
        </w:tc>
      </w:tr>
      <w:tr w:rsidR="00DA7624" w:rsidRPr="00B41B4E" w:rsidTr="00DA7624">
        <w:trPr>
          <w:trHeight w:val="349"/>
        </w:trPr>
        <w:tc>
          <w:tcPr>
            <w:tcW w:w="718" w:type="dxa"/>
            <w:tcBorders>
              <w:top w:val="nil"/>
              <w:left w:val="single" w:sz="8" w:space="0" w:color="000080"/>
              <w:bottom w:val="single" w:sz="8" w:space="0" w:color="000080"/>
              <w:right w:val="single" w:sz="8" w:space="0" w:color="000080"/>
            </w:tcBorders>
            <w:shd w:val="clear" w:color="000000" w:fill="FFFFFF"/>
            <w:hideMark/>
          </w:tcPr>
          <w:p w:rsidR="00DA7624" w:rsidRPr="00B41B4E" w:rsidRDefault="00DA7624" w:rsidP="00AE0BAB">
            <w:pPr>
              <w:jc w:val="center"/>
              <w:rPr>
                <w:rFonts w:ascii="Arial" w:hAnsi="Arial" w:cs="Arial"/>
                <w:sz w:val="22"/>
                <w:szCs w:val="22"/>
              </w:rPr>
            </w:pPr>
            <w:r>
              <w:rPr>
                <w:rFonts w:ascii="Arial" w:hAnsi="Arial" w:cs="Arial"/>
                <w:sz w:val="22"/>
                <w:szCs w:val="22"/>
                <w:lang w:val="en-GB"/>
              </w:rPr>
              <w:t>6</w:t>
            </w:r>
          </w:p>
        </w:tc>
        <w:tc>
          <w:tcPr>
            <w:tcW w:w="5952" w:type="dxa"/>
            <w:tcBorders>
              <w:top w:val="nil"/>
              <w:left w:val="nil"/>
              <w:bottom w:val="single" w:sz="8" w:space="0" w:color="000080"/>
              <w:right w:val="single" w:sz="8" w:space="0" w:color="000080"/>
            </w:tcBorders>
            <w:shd w:val="clear" w:color="000000" w:fill="FFFFFF"/>
            <w:hideMark/>
          </w:tcPr>
          <w:p w:rsidR="00DA7624" w:rsidRPr="00B41B4E" w:rsidRDefault="00DA7624" w:rsidP="00AE0BAB">
            <w:pPr>
              <w:jc w:val="both"/>
              <w:rPr>
                <w:rFonts w:ascii="Arial" w:hAnsi="Arial" w:cs="Arial"/>
                <w:sz w:val="22"/>
                <w:szCs w:val="22"/>
              </w:rPr>
            </w:pPr>
            <w:r w:rsidRPr="00B41B4E">
              <w:rPr>
                <w:rFonts w:ascii="Arial" w:hAnsi="Arial" w:cs="Arial"/>
                <w:sz w:val="22"/>
                <w:szCs w:val="22"/>
                <w:lang w:val="en-GB"/>
              </w:rPr>
              <w:t>AMR/Smart and Pre-paid Metering- Running Expns.</w:t>
            </w:r>
          </w:p>
        </w:tc>
        <w:tc>
          <w:tcPr>
            <w:tcW w:w="1800" w:type="dxa"/>
            <w:tcBorders>
              <w:top w:val="nil"/>
              <w:left w:val="nil"/>
              <w:bottom w:val="single" w:sz="8" w:space="0" w:color="000080"/>
              <w:right w:val="single" w:sz="8" w:space="0" w:color="000080"/>
            </w:tcBorders>
            <w:shd w:val="clear" w:color="000000" w:fill="FFFFFF"/>
            <w:hideMark/>
          </w:tcPr>
          <w:p w:rsidR="00DA7624" w:rsidRPr="00B41B4E" w:rsidRDefault="00DA7624" w:rsidP="00AE0BAB">
            <w:pPr>
              <w:jc w:val="right"/>
              <w:rPr>
                <w:rFonts w:ascii="Arial" w:hAnsi="Arial" w:cs="Arial"/>
                <w:sz w:val="22"/>
                <w:szCs w:val="22"/>
              </w:rPr>
            </w:pPr>
            <w:r w:rsidRPr="00B41B4E">
              <w:rPr>
                <w:rFonts w:ascii="Arial" w:hAnsi="Arial" w:cs="Arial"/>
                <w:sz w:val="22"/>
                <w:szCs w:val="22"/>
                <w:lang w:val="en-GB"/>
              </w:rPr>
              <w:t>299.84</w:t>
            </w:r>
          </w:p>
        </w:tc>
      </w:tr>
      <w:tr w:rsidR="00DA7624" w:rsidRPr="00B41B4E" w:rsidTr="00DA7624">
        <w:trPr>
          <w:trHeight w:val="331"/>
        </w:trPr>
        <w:tc>
          <w:tcPr>
            <w:tcW w:w="718" w:type="dxa"/>
            <w:tcBorders>
              <w:top w:val="nil"/>
              <w:left w:val="single" w:sz="8" w:space="0" w:color="000080"/>
              <w:bottom w:val="single" w:sz="8" w:space="0" w:color="000080"/>
              <w:right w:val="single" w:sz="8" w:space="0" w:color="000080"/>
            </w:tcBorders>
            <w:shd w:val="clear" w:color="000000" w:fill="FFFFFF"/>
            <w:hideMark/>
          </w:tcPr>
          <w:p w:rsidR="00DA7624" w:rsidRPr="00B41B4E" w:rsidRDefault="00DA7624" w:rsidP="00AE0BAB">
            <w:pPr>
              <w:jc w:val="center"/>
              <w:rPr>
                <w:rFonts w:ascii="Arial" w:hAnsi="Arial" w:cs="Arial"/>
                <w:sz w:val="22"/>
                <w:szCs w:val="22"/>
              </w:rPr>
            </w:pPr>
            <w:r>
              <w:rPr>
                <w:rFonts w:ascii="Arial" w:hAnsi="Arial" w:cs="Arial"/>
                <w:sz w:val="22"/>
                <w:szCs w:val="22"/>
                <w:lang w:val="en-GB"/>
              </w:rPr>
              <w:t>7</w:t>
            </w:r>
          </w:p>
        </w:tc>
        <w:tc>
          <w:tcPr>
            <w:tcW w:w="5952" w:type="dxa"/>
            <w:tcBorders>
              <w:top w:val="nil"/>
              <w:left w:val="nil"/>
              <w:bottom w:val="single" w:sz="8" w:space="0" w:color="000080"/>
              <w:right w:val="single" w:sz="8" w:space="0" w:color="000080"/>
            </w:tcBorders>
            <w:shd w:val="clear" w:color="000000" w:fill="FFFFFF"/>
            <w:hideMark/>
          </w:tcPr>
          <w:p w:rsidR="00DA7624" w:rsidRPr="00B41B4E" w:rsidRDefault="00DA7624" w:rsidP="00AE0BAB">
            <w:pPr>
              <w:jc w:val="both"/>
              <w:rPr>
                <w:rFonts w:ascii="Arial" w:hAnsi="Arial" w:cs="Arial"/>
                <w:sz w:val="22"/>
                <w:szCs w:val="22"/>
              </w:rPr>
            </w:pPr>
            <w:r w:rsidRPr="00B41B4E">
              <w:rPr>
                <w:rFonts w:ascii="Arial" w:hAnsi="Arial" w:cs="Arial"/>
                <w:sz w:val="22"/>
                <w:szCs w:val="22"/>
                <w:lang w:val="en-GB"/>
              </w:rPr>
              <w:t>IT automation</w:t>
            </w:r>
          </w:p>
        </w:tc>
        <w:tc>
          <w:tcPr>
            <w:tcW w:w="1800" w:type="dxa"/>
            <w:tcBorders>
              <w:top w:val="nil"/>
              <w:left w:val="nil"/>
              <w:bottom w:val="single" w:sz="8" w:space="0" w:color="000080"/>
              <w:right w:val="single" w:sz="8" w:space="0" w:color="000080"/>
            </w:tcBorders>
            <w:shd w:val="clear" w:color="000000" w:fill="FFFFFF"/>
            <w:hideMark/>
          </w:tcPr>
          <w:p w:rsidR="00DA7624" w:rsidRPr="00B41B4E" w:rsidRDefault="00DA7624" w:rsidP="00AE0BAB">
            <w:pPr>
              <w:jc w:val="right"/>
              <w:rPr>
                <w:rFonts w:ascii="Arial" w:hAnsi="Arial" w:cs="Arial"/>
                <w:sz w:val="22"/>
                <w:szCs w:val="22"/>
              </w:rPr>
            </w:pPr>
            <w:r w:rsidRPr="00B41B4E">
              <w:rPr>
                <w:rFonts w:ascii="Arial" w:hAnsi="Arial" w:cs="Arial"/>
                <w:sz w:val="22"/>
                <w:szCs w:val="22"/>
                <w:lang w:val="en-GB"/>
              </w:rPr>
              <w:t>165.81</w:t>
            </w:r>
          </w:p>
        </w:tc>
      </w:tr>
      <w:tr w:rsidR="00DA7624" w:rsidRPr="00B41B4E" w:rsidTr="00DA7624">
        <w:trPr>
          <w:trHeight w:val="349"/>
        </w:trPr>
        <w:tc>
          <w:tcPr>
            <w:tcW w:w="718" w:type="dxa"/>
            <w:tcBorders>
              <w:top w:val="nil"/>
              <w:left w:val="single" w:sz="8" w:space="0" w:color="000080"/>
              <w:bottom w:val="single" w:sz="8" w:space="0" w:color="000080"/>
              <w:right w:val="single" w:sz="8" w:space="0" w:color="000080"/>
            </w:tcBorders>
            <w:shd w:val="clear" w:color="000000" w:fill="FFFFFF"/>
            <w:hideMark/>
          </w:tcPr>
          <w:p w:rsidR="00DA7624" w:rsidRPr="00B41B4E" w:rsidRDefault="00DA7624" w:rsidP="00AE0BAB">
            <w:pPr>
              <w:jc w:val="center"/>
              <w:rPr>
                <w:rFonts w:ascii="Arial" w:hAnsi="Arial" w:cs="Arial"/>
                <w:sz w:val="22"/>
                <w:szCs w:val="22"/>
              </w:rPr>
            </w:pPr>
            <w:r>
              <w:rPr>
                <w:rFonts w:ascii="Arial" w:hAnsi="Arial" w:cs="Arial"/>
                <w:sz w:val="22"/>
                <w:szCs w:val="22"/>
                <w:lang w:val="en-GB"/>
              </w:rPr>
              <w:t>8</w:t>
            </w:r>
          </w:p>
        </w:tc>
        <w:tc>
          <w:tcPr>
            <w:tcW w:w="5952" w:type="dxa"/>
            <w:tcBorders>
              <w:top w:val="nil"/>
              <w:left w:val="nil"/>
              <w:bottom w:val="single" w:sz="8" w:space="0" w:color="000080"/>
              <w:right w:val="single" w:sz="8" w:space="0" w:color="000080"/>
            </w:tcBorders>
            <w:shd w:val="clear" w:color="000000" w:fill="FFFFFF"/>
            <w:hideMark/>
          </w:tcPr>
          <w:p w:rsidR="00DA7624" w:rsidRPr="00B41B4E" w:rsidRDefault="00DA7624" w:rsidP="00AE0BAB">
            <w:pPr>
              <w:jc w:val="both"/>
              <w:rPr>
                <w:rFonts w:ascii="Arial" w:hAnsi="Arial" w:cs="Arial"/>
                <w:sz w:val="22"/>
                <w:szCs w:val="22"/>
              </w:rPr>
            </w:pPr>
            <w:r w:rsidRPr="00B41B4E">
              <w:rPr>
                <w:rFonts w:ascii="Arial" w:hAnsi="Arial" w:cs="Arial"/>
                <w:sz w:val="22"/>
                <w:szCs w:val="22"/>
                <w:lang w:val="en-GB"/>
              </w:rPr>
              <w:t>Manpower Assessment</w:t>
            </w:r>
          </w:p>
        </w:tc>
        <w:tc>
          <w:tcPr>
            <w:tcW w:w="1800" w:type="dxa"/>
            <w:tcBorders>
              <w:top w:val="nil"/>
              <w:left w:val="nil"/>
              <w:bottom w:val="single" w:sz="8" w:space="0" w:color="000080"/>
              <w:right w:val="single" w:sz="8" w:space="0" w:color="000080"/>
            </w:tcBorders>
            <w:shd w:val="clear" w:color="000000" w:fill="FFFFFF"/>
            <w:hideMark/>
          </w:tcPr>
          <w:p w:rsidR="00DA7624" w:rsidRPr="00B41B4E" w:rsidRDefault="00DA7624" w:rsidP="00AE0BAB">
            <w:pPr>
              <w:jc w:val="right"/>
              <w:rPr>
                <w:rFonts w:ascii="Arial" w:hAnsi="Arial" w:cs="Arial"/>
                <w:sz w:val="22"/>
                <w:szCs w:val="22"/>
              </w:rPr>
            </w:pPr>
            <w:r w:rsidRPr="00B41B4E">
              <w:rPr>
                <w:rFonts w:ascii="Arial" w:hAnsi="Arial" w:cs="Arial"/>
                <w:sz w:val="22"/>
                <w:szCs w:val="22"/>
                <w:lang w:val="en-GB"/>
              </w:rPr>
              <w:t>9.63</w:t>
            </w:r>
          </w:p>
        </w:tc>
      </w:tr>
      <w:tr w:rsidR="00DA7624" w:rsidRPr="00B41B4E" w:rsidTr="00DA7624">
        <w:trPr>
          <w:trHeight w:val="331"/>
        </w:trPr>
        <w:tc>
          <w:tcPr>
            <w:tcW w:w="718" w:type="dxa"/>
            <w:tcBorders>
              <w:top w:val="nil"/>
              <w:left w:val="single" w:sz="8" w:space="0" w:color="000080"/>
              <w:bottom w:val="single" w:sz="8" w:space="0" w:color="000080"/>
              <w:right w:val="single" w:sz="8" w:space="0" w:color="000080"/>
            </w:tcBorders>
            <w:shd w:val="clear" w:color="000000" w:fill="FFFFFF"/>
            <w:hideMark/>
          </w:tcPr>
          <w:p w:rsidR="00DA7624" w:rsidRPr="00B41B4E" w:rsidRDefault="00DA7624" w:rsidP="00AE0BAB">
            <w:pPr>
              <w:jc w:val="center"/>
              <w:rPr>
                <w:rFonts w:ascii="Arial" w:hAnsi="Arial" w:cs="Arial"/>
                <w:sz w:val="22"/>
                <w:szCs w:val="22"/>
              </w:rPr>
            </w:pPr>
            <w:r>
              <w:rPr>
                <w:rFonts w:ascii="Arial" w:hAnsi="Arial" w:cs="Arial"/>
                <w:sz w:val="22"/>
                <w:szCs w:val="22"/>
                <w:lang w:val="en-GB"/>
              </w:rPr>
              <w:t>9</w:t>
            </w:r>
          </w:p>
        </w:tc>
        <w:tc>
          <w:tcPr>
            <w:tcW w:w="5952" w:type="dxa"/>
            <w:tcBorders>
              <w:top w:val="nil"/>
              <w:left w:val="nil"/>
              <w:bottom w:val="single" w:sz="8" w:space="0" w:color="000080"/>
              <w:right w:val="single" w:sz="8" w:space="0" w:color="000080"/>
            </w:tcBorders>
            <w:shd w:val="clear" w:color="000000" w:fill="FFFFFF"/>
            <w:hideMark/>
          </w:tcPr>
          <w:p w:rsidR="00DA7624" w:rsidRPr="00B41B4E" w:rsidRDefault="00DA7624" w:rsidP="00AE0BAB">
            <w:pPr>
              <w:jc w:val="both"/>
              <w:rPr>
                <w:rFonts w:ascii="Arial" w:hAnsi="Arial" w:cs="Arial"/>
                <w:sz w:val="22"/>
                <w:szCs w:val="22"/>
              </w:rPr>
            </w:pPr>
            <w:r w:rsidRPr="00B41B4E">
              <w:rPr>
                <w:rFonts w:ascii="Arial" w:hAnsi="Arial" w:cs="Arial"/>
                <w:sz w:val="22"/>
                <w:szCs w:val="22"/>
                <w:lang w:val="en-GB"/>
              </w:rPr>
              <w:t>Customer Care Activities</w:t>
            </w:r>
          </w:p>
        </w:tc>
        <w:tc>
          <w:tcPr>
            <w:tcW w:w="1800" w:type="dxa"/>
            <w:tcBorders>
              <w:top w:val="nil"/>
              <w:left w:val="nil"/>
              <w:bottom w:val="single" w:sz="8" w:space="0" w:color="000080"/>
              <w:right w:val="single" w:sz="8" w:space="0" w:color="000080"/>
            </w:tcBorders>
            <w:shd w:val="clear" w:color="000000" w:fill="FFFFFF"/>
            <w:hideMark/>
          </w:tcPr>
          <w:p w:rsidR="00DA7624" w:rsidRPr="00B41B4E" w:rsidRDefault="00DA7624" w:rsidP="00AE0BAB">
            <w:pPr>
              <w:jc w:val="right"/>
              <w:rPr>
                <w:rFonts w:ascii="Arial" w:hAnsi="Arial" w:cs="Arial"/>
                <w:sz w:val="22"/>
                <w:szCs w:val="22"/>
              </w:rPr>
            </w:pPr>
            <w:r w:rsidRPr="00B41B4E">
              <w:rPr>
                <w:rFonts w:ascii="Arial" w:hAnsi="Arial" w:cs="Arial"/>
                <w:sz w:val="22"/>
                <w:szCs w:val="22"/>
                <w:lang w:val="en-GB"/>
              </w:rPr>
              <w:t>21.94</w:t>
            </w:r>
          </w:p>
        </w:tc>
      </w:tr>
      <w:tr w:rsidR="00DA7624" w:rsidRPr="00B41B4E" w:rsidTr="00DA7624">
        <w:trPr>
          <w:trHeight w:val="349"/>
        </w:trPr>
        <w:tc>
          <w:tcPr>
            <w:tcW w:w="718" w:type="dxa"/>
            <w:tcBorders>
              <w:top w:val="nil"/>
              <w:left w:val="single" w:sz="8" w:space="0" w:color="000080"/>
              <w:bottom w:val="single" w:sz="8" w:space="0" w:color="000080"/>
              <w:right w:val="single" w:sz="8" w:space="0" w:color="000080"/>
            </w:tcBorders>
            <w:shd w:val="clear" w:color="000000" w:fill="FFFFFF"/>
            <w:hideMark/>
          </w:tcPr>
          <w:p w:rsidR="00DA7624" w:rsidRPr="00B41B4E" w:rsidRDefault="00DA7624" w:rsidP="00AE0BAB">
            <w:pPr>
              <w:jc w:val="center"/>
              <w:rPr>
                <w:rFonts w:ascii="Arial" w:hAnsi="Arial" w:cs="Arial"/>
                <w:sz w:val="22"/>
                <w:szCs w:val="22"/>
              </w:rPr>
            </w:pPr>
            <w:r w:rsidRPr="00B41B4E">
              <w:rPr>
                <w:rFonts w:ascii="Arial" w:hAnsi="Arial" w:cs="Arial"/>
                <w:sz w:val="22"/>
                <w:szCs w:val="22"/>
                <w:lang w:val="en-GB"/>
              </w:rPr>
              <w:t>1</w:t>
            </w:r>
            <w:r>
              <w:rPr>
                <w:rFonts w:ascii="Arial" w:hAnsi="Arial" w:cs="Arial"/>
                <w:sz w:val="22"/>
                <w:szCs w:val="22"/>
                <w:lang w:val="en-GB"/>
              </w:rPr>
              <w:t>0</w:t>
            </w:r>
          </w:p>
        </w:tc>
        <w:tc>
          <w:tcPr>
            <w:tcW w:w="5952" w:type="dxa"/>
            <w:tcBorders>
              <w:top w:val="nil"/>
              <w:left w:val="nil"/>
              <w:bottom w:val="single" w:sz="8" w:space="0" w:color="000080"/>
              <w:right w:val="single" w:sz="8" w:space="0" w:color="000080"/>
            </w:tcBorders>
            <w:shd w:val="clear" w:color="000000" w:fill="FFFFFF"/>
            <w:hideMark/>
          </w:tcPr>
          <w:p w:rsidR="00DA7624" w:rsidRPr="00B41B4E" w:rsidRDefault="00DA7624" w:rsidP="00AE0BAB">
            <w:pPr>
              <w:jc w:val="both"/>
              <w:rPr>
                <w:rFonts w:ascii="Arial" w:hAnsi="Arial" w:cs="Arial"/>
                <w:sz w:val="22"/>
                <w:szCs w:val="22"/>
              </w:rPr>
            </w:pPr>
            <w:r w:rsidRPr="00B41B4E">
              <w:rPr>
                <w:rFonts w:ascii="Arial" w:hAnsi="Arial" w:cs="Arial"/>
                <w:sz w:val="22"/>
                <w:szCs w:val="22"/>
                <w:lang w:val="en-GB"/>
              </w:rPr>
              <w:t>Collection Incentives</w:t>
            </w:r>
          </w:p>
        </w:tc>
        <w:tc>
          <w:tcPr>
            <w:tcW w:w="1800" w:type="dxa"/>
            <w:tcBorders>
              <w:top w:val="nil"/>
              <w:left w:val="nil"/>
              <w:bottom w:val="single" w:sz="8" w:space="0" w:color="000080"/>
              <w:right w:val="single" w:sz="8" w:space="0" w:color="000080"/>
            </w:tcBorders>
            <w:shd w:val="clear" w:color="000000" w:fill="FFFFFF"/>
            <w:hideMark/>
          </w:tcPr>
          <w:p w:rsidR="00DA7624" w:rsidRPr="00B41B4E" w:rsidRDefault="00DA7624" w:rsidP="00AE0BAB">
            <w:pPr>
              <w:jc w:val="right"/>
              <w:rPr>
                <w:rFonts w:ascii="Arial" w:hAnsi="Arial" w:cs="Arial"/>
                <w:sz w:val="22"/>
                <w:szCs w:val="22"/>
              </w:rPr>
            </w:pPr>
            <w:r w:rsidRPr="00B41B4E">
              <w:rPr>
                <w:rFonts w:ascii="Arial" w:hAnsi="Arial" w:cs="Arial"/>
                <w:sz w:val="22"/>
                <w:szCs w:val="22"/>
                <w:lang w:val="en-GB"/>
              </w:rPr>
              <w:t>370.50</w:t>
            </w:r>
          </w:p>
        </w:tc>
      </w:tr>
      <w:tr w:rsidR="00DA7624" w:rsidRPr="00B41B4E" w:rsidTr="00DA7624">
        <w:trPr>
          <w:trHeight w:val="331"/>
        </w:trPr>
        <w:tc>
          <w:tcPr>
            <w:tcW w:w="718" w:type="dxa"/>
            <w:tcBorders>
              <w:top w:val="nil"/>
              <w:left w:val="single" w:sz="8" w:space="0" w:color="000080"/>
              <w:bottom w:val="single" w:sz="8" w:space="0" w:color="000080"/>
              <w:right w:val="single" w:sz="8" w:space="0" w:color="000080"/>
            </w:tcBorders>
            <w:shd w:val="clear" w:color="000000" w:fill="FFFFFF"/>
            <w:hideMark/>
          </w:tcPr>
          <w:p w:rsidR="00DA7624" w:rsidRPr="00B41B4E" w:rsidRDefault="00DA7624" w:rsidP="00AE0BAB">
            <w:pPr>
              <w:jc w:val="center"/>
              <w:rPr>
                <w:rFonts w:ascii="Arial" w:hAnsi="Arial" w:cs="Arial"/>
                <w:sz w:val="22"/>
                <w:szCs w:val="22"/>
              </w:rPr>
            </w:pPr>
            <w:r w:rsidRPr="00B41B4E">
              <w:rPr>
                <w:rFonts w:ascii="Arial" w:hAnsi="Arial" w:cs="Arial"/>
                <w:sz w:val="22"/>
                <w:szCs w:val="22"/>
                <w:lang w:val="en-GB"/>
              </w:rPr>
              <w:t>1</w:t>
            </w:r>
            <w:r>
              <w:rPr>
                <w:rFonts w:ascii="Arial" w:hAnsi="Arial" w:cs="Arial"/>
                <w:sz w:val="22"/>
                <w:szCs w:val="22"/>
                <w:lang w:val="en-GB"/>
              </w:rPr>
              <w:t>1</w:t>
            </w:r>
          </w:p>
        </w:tc>
        <w:tc>
          <w:tcPr>
            <w:tcW w:w="5952" w:type="dxa"/>
            <w:tcBorders>
              <w:top w:val="nil"/>
              <w:left w:val="nil"/>
              <w:bottom w:val="single" w:sz="8" w:space="0" w:color="000080"/>
              <w:right w:val="single" w:sz="8" w:space="0" w:color="000080"/>
            </w:tcBorders>
            <w:shd w:val="clear" w:color="000000" w:fill="FFFFFF"/>
            <w:hideMark/>
          </w:tcPr>
          <w:p w:rsidR="00DA7624" w:rsidRPr="00B41B4E" w:rsidRDefault="00DA7624" w:rsidP="00AE0BAB">
            <w:pPr>
              <w:jc w:val="both"/>
              <w:rPr>
                <w:rFonts w:ascii="Arial" w:hAnsi="Arial" w:cs="Arial"/>
                <w:sz w:val="22"/>
                <w:szCs w:val="22"/>
              </w:rPr>
            </w:pPr>
            <w:r w:rsidRPr="00B41B4E">
              <w:rPr>
                <w:rFonts w:ascii="Arial" w:hAnsi="Arial" w:cs="Arial"/>
                <w:sz w:val="22"/>
                <w:szCs w:val="22"/>
                <w:lang w:val="en-GB"/>
              </w:rPr>
              <w:t>Inspection Fees</w:t>
            </w:r>
          </w:p>
        </w:tc>
        <w:tc>
          <w:tcPr>
            <w:tcW w:w="1800" w:type="dxa"/>
            <w:tcBorders>
              <w:top w:val="nil"/>
              <w:left w:val="nil"/>
              <w:bottom w:val="single" w:sz="8" w:space="0" w:color="000080"/>
              <w:right w:val="single" w:sz="8" w:space="0" w:color="000080"/>
            </w:tcBorders>
            <w:shd w:val="clear" w:color="000000" w:fill="FFFFFF"/>
            <w:hideMark/>
          </w:tcPr>
          <w:p w:rsidR="00DA7624" w:rsidRPr="00B41B4E" w:rsidRDefault="00DA7624" w:rsidP="00AE0BAB">
            <w:pPr>
              <w:jc w:val="right"/>
              <w:rPr>
                <w:rFonts w:ascii="Arial" w:hAnsi="Arial" w:cs="Arial"/>
                <w:sz w:val="22"/>
                <w:szCs w:val="22"/>
              </w:rPr>
            </w:pPr>
            <w:r w:rsidRPr="00B41B4E">
              <w:rPr>
                <w:rFonts w:ascii="Arial" w:hAnsi="Arial" w:cs="Arial"/>
                <w:sz w:val="22"/>
                <w:szCs w:val="22"/>
                <w:lang w:val="en-GB"/>
              </w:rPr>
              <w:t>994.51</w:t>
            </w:r>
          </w:p>
        </w:tc>
      </w:tr>
      <w:tr w:rsidR="00DA7624" w:rsidRPr="00B41B4E" w:rsidTr="00DA7624">
        <w:trPr>
          <w:trHeight w:val="259"/>
        </w:trPr>
        <w:tc>
          <w:tcPr>
            <w:tcW w:w="718" w:type="dxa"/>
            <w:tcBorders>
              <w:top w:val="nil"/>
              <w:left w:val="single" w:sz="8" w:space="0" w:color="000080"/>
              <w:bottom w:val="single" w:sz="8" w:space="0" w:color="000080"/>
              <w:right w:val="single" w:sz="8" w:space="0" w:color="000080"/>
            </w:tcBorders>
            <w:shd w:val="clear" w:color="000000" w:fill="FFFFFF"/>
            <w:hideMark/>
          </w:tcPr>
          <w:p w:rsidR="00DA7624" w:rsidRPr="00B41B4E" w:rsidRDefault="00DA7624" w:rsidP="00AE0BAB">
            <w:pPr>
              <w:jc w:val="center"/>
              <w:rPr>
                <w:rFonts w:ascii="Arial" w:hAnsi="Arial" w:cs="Arial"/>
                <w:sz w:val="22"/>
                <w:szCs w:val="22"/>
              </w:rPr>
            </w:pPr>
            <w:r w:rsidRPr="00B41B4E">
              <w:rPr>
                <w:rFonts w:ascii="Arial" w:hAnsi="Arial" w:cs="Arial"/>
                <w:sz w:val="22"/>
                <w:szCs w:val="22"/>
                <w:lang w:val="en-GB"/>
              </w:rPr>
              <w:t> </w:t>
            </w:r>
          </w:p>
        </w:tc>
        <w:tc>
          <w:tcPr>
            <w:tcW w:w="5952" w:type="dxa"/>
            <w:tcBorders>
              <w:top w:val="nil"/>
              <w:left w:val="nil"/>
              <w:bottom w:val="single" w:sz="8" w:space="0" w:color="000080"/>
              <w:right w:val="single" w:sz="8" w:space="0" w:color="000080"/>
            </w:tcBorders>
            <w:shd w:val="clear" w:color="000000" w:fill="FFFFFF"/>
            <w:hideMark/>
          </w:tcPr>
          <w:p w:rsidR="00DA7624" w:rsidRPr="00B41B4E" w:rsidRDefault="00DA7624" w:rsidP="00AE0BAB">
            <w:pPr>
              <w:jc w:val="both"/>
              <w:rPr>
                <w:rFonts w:ascii="Arial" w:hAnsi="Arial" w:cs="Arial"/>
                <w:b/>
                <w:bCs/>
                <w:sz w:val="22"/>
                <w:szCs w:val="22"/>
              </w:rPr>
            </w:pPr>
            <w:r w:rsidRPr="00B41B4E">
              <w:rPr>
                <w:rFonts w:ascii="Arial" w:hAnsi="Arial" w:cs="Arial"/>
                <w:b/>
                <w:bCs/>
                <w:sz w:val="22"/>
                <w:szCs w:val="22"/>
                <w:lang w:val="en-GB"/>
              </w:rPr>
              <w:t xml:space="preserve">   Total</w:t>
            </w:r>
          </w:p>
        </w:tc>
        <w:tc>
          <w:tcPr>
            <w:tcW w:w="1800" w:type="dxa"/>
            <w:tcBorders>
              <w:top w:val="nil"/>
              <w:left w:val="nil"/>
              <w:bottom w:val="single" w:sz="8" w:space="0" w:color="000080"/>
              <w:right w:val="single" w:sz="8" w:space="0" w:color="000080"/>
            </w:tcBorders>
            <w:shd w:val="clear" w:color="000000" w:fill="FFFFFF"/>
            <w:hideMark/>
          </w:tcPr>
          <w:p w:rsidR="00DA7624" w:rsidRPr="00B41B4E" w:rsidRDefault="00DA7624" w:rsidP="00AE0BAB">
            <w:pPr>
              <w:jc w:val="right"/>
              <w:rPr>
                <w:rFonts w:ascii="Arial" w:hAnsi="Arial" w:cs="Arial"/>
                <w:b/>
                <w:bCs/>
                <w:sz w:val="22"/>
                <w:szCs w:val="22"/>
              </w:rPr>
            </w:pPr>
            <w:r>
              <w:rPr>
                <w:rFonts w:ascii="Arial" w:hAnsi="Arial" w:cs="Arial"/>
                <w:b/>
                <w:bCs/>
                <w:sz w:val="22"/>
                <w:szCs w:val="22"/>
                <w:lang w:val="en-GB"/>
              </w:rPr>
              <w:t>2420.50</w:t>
            </w:r>
          </w:p>
        </w:tc>
      </w:tr>
    </w:tbl>
    <w:p w:rsidR="00BB18BE" w:rsidRDefault="00BB18BE" w:rsidP="00BB18BE">
      <w:pPr>
        <w:rPr>
          <w:lang w:val="en-GB"/>
        </w:rPr>
      </w:pPr>
    </w:p>
    <w:p w:rsidR="00BB18BE" w:rsidRDefault="00BB18BE" w:rsidP="00BB18BE">
      <w:pPr>
        <w:rPr>
          <w:lang w:val="en-GB"/>
        </w:rPr>
      </w:pPr>
    </w:p>
    <w:p w:rsidR="004276A0" w:rsidRPr="00D84D4B" w:rsidRDefault="004276A0" w:rsidP="004276A0">
      <w:pPr>
        <w:spacing w:line="360" w:lineRule="auto"/>
        <w:jc w:val="both"/>
        <w:rPr>
          <w:rFonts w:ascii="Arial" w:hAnsi="Arial" w:cs="Arial"/>
          <w:bCs/>
          <w:sz w:val="22"/>
          <w:szCs w:val="22"/>
        </w:rPr>
      </w:pPr>
      <w:r w:rsidRPr="00D84D4B">
        <w:rPr>
          <w:rFonts w:ascii="Arial" w:hAnsi="Arial" w:cs="Arial"/>
          <w:bCs/>
          <w:sz w:val="22"/>
          <w:szCs w:val="22"/>
        </w:rPr>
        <w:t xml:space="preserve">Additional expenses for FY 2015-16 is projected at Rs </w:t>
      </w:r>
      <w:r w:rsidR="00AD0FEA" w:rsidRPr="00D84D4B">
        <w:rPr>
          <w:rFonts w:ascii="Arial" w:hAnsi="Arial" w:cs="Arial"/>
          <w:bCs/>
          <w:sz w:val="22"/>
          <w:szCs w:val="22"/>
        </w:rPr>
        <w:t xml:space="preserve">24.21 </w:t>
      </w:r>
      <w:r w:rsidRPr="00D84D4B">
        <w:rPr>
          <w:rFonts w:ascii="Arial" w:hAnsi="Arial" w:cs="Arial"/>
          <w:bCs/>
          <w:sz w:val="22"/>
          <w:szCs w:val="22"/>
        </w:rPr>
        <w:t>Crore taking into consideration of the above initiatives.</w:t>
      </w:r>
    </w:p>
    <w:p w:rsidR="004276A0" w:rsidRPr="00D84D4B" w:rsidRDefault="004276A0" w:rsidP="000334F1">
      <w:pPr>
        <w:pStyle w:val="Heading1"/>
        <w:numPr>
          <w:ilvl w:val="1"/>
          <w:numId w:val="1"/>
        </w:numPr>
        <w:spacing w:line="360" w:lineRule="auto"/>
        <w:jc w:val="both"/>
        <w:rPr>
          <w:sz w:val="22"/>
          <w:szCs w:val="22"/>
        </w:rPr>
      </w:pPr>
      <w:bookmarkStart w:id="18" w:name="_Toc404940144"/>
      <w:r w:rsidRPr="00D84D4B">
        <w:rPr>
          <w:sz w:val="22"/>
          <w:szCs w:val="22"/>
        </w:rPr>
        <w:t>Repair &amp; Maintenance Expenses</w:t>
      </w:r>
      <w:bookmarkEnd w:id="18"/>
    </w:p>
    <w:p w:rsidR="00703E04" w:rsidRPr="00D84D4B" w:rsidRDefault="00703E04" w:rsidP="00703E04">
      <w:pPr>
        <w:pStyle w:val="ListNumber"/>
        <w:tabs>
          <w:tab w:val="clear" w:pos="360"/>
          <w:tab w:val="left" w:pos="0"/>
        </w:tabs>
        <w:spacing w:line="360" w:lineRule="auto"/>
        <w:ind w:firstLine="0"/>
        <w:jc w:val="both"/>
        <w:rPr>
          <w:rFonts w:cs="Arial"/>
          <w:sz w:val="22"/>
          <w:szCs w:val="22"/>
        </w:rPr>
      </w:pPr>
      <w:r w:rsidRPr="00D84D4B">
        <w:rPr>
          <w:rFonts w:cs="Arial"/>
          <w:sz w:val="22"/>
          <w:szCs w:val="22"/>
        </w:rPr>
        <w:t xml:space="preserve">Hon’ble Commission have in </w:t>
      </w:r>
      <w:r w:rsidR="00DB40A0">
        <w:rPr>
          <w:rFonts w:cs="Arial"/>
          <w:sz w:val="22"/>
          <w:szCs w:val="22"/>
        </w:rPr>
        <w:t>its</w:t>
      </w:r>
      <w:r w:rsidRPr="00D84D4B">
        <w:rPr>
          <w:rFonts w:cs="Arial"/>
          <w:sz w:val="22"/>
          <w:szCs w:val="22"/>
        </w:rPr>
        <w:t xml:space="preserve"> Order for FY 2014-15, have observed that the Discoms are spending less than the amount approved in the ARR and that due to inadequate amount the R&amp;M expenses are not being carried out in a proper manner. It is submitted that Inspite e of </w:t>
      </w:r>
      <w:r w:rsidRPr="00D84D4B">
        <w:rPr>
          <w:rFonts w:cs="Arial"/>
          <w:sz w:val="22"/>
          <w:szCs w:val="22"/>
        </w:rPr>
        <w:lastRenderedPageBreak/>
        <w:t xml:space="preserve">the odds, the Licensee are planning to  initiating R&amp;M activities for reducing system downtime and the cost of un-served energy. </w:t>
      </w:r>
    </w:p>
    <w:p w:rsidR="00703E04" w:rsidRPr="00D84D4B" w:rsidRDefault="00703E04" w:rsidP="00703E04">
      <w:pPr>
        <w:pStyle w:val="ListNumber"/>
        <w:tabs>
          <w:tab w:val="clear" w:pos="360"/>
          <w:tab w:val="left" w:pos="0"/>
        </w:tabs>
        <w:spacing w:line="360" w:lineRule="auto"/>
        <w:ind w:firstLine="0"/>
        <w:jc w:val="both"/>
        <w:rPr>
          <w:rFonts w:cs="Arial"/>
          <w:sz w:val="22"/>
          <w:szCs w:val="22"/>
        </w:rPr>
      </w:pPr>
      <w:r w:rsidRPr="00D84D4B">
        <w:rPr>
          <w:rFonts w:cs="Arial"/>
          <w:sz w:val="22"/>
          <w:szCs w:val="22"/>
        </w:rPr>
        <w:t>With regard to the R&amp;M of the Assets created through funding of the RGGVY and BGJY schemes, Hon’ble Commission  in para 335  the RST order for FY 2014-15  had allowed an additional sum of Rs 5.00 Cr to each of the Discoms on a provisional basis which is not enough given the area over which the RGGVY assets have been spread out Accordingly, , the Licensee proposes to allow the R&amp;M on the RGGVY &amp; BGJY Assets so that the Licensee could maintain the Assets. In the event, the state Govt provides the revenue subsidy, the R&amp;M of the corresponding year shall be reduced by the Hon’ble Commission. Unless funds are provided in the ARR, the licensee shall not be able to effect proper maintenance of the RGGVY &amp; BGJY Assets which has been entrusted by the terms of the agreements made by the GOO, GOI and DISCOMs.</w:t>
      </w:r>
    </w:p>
    <w:p w:rsidR="00703E04" w:rsidRPr="00D84D4B" w:rsidRDefault="00703E04" w:rsidP="00703E04">
      <w:pPr>
        <w:pStyle w:val="BodyText2"/>
        <w:spacing w:line="360" w:lineRule="auto"/>
        <w:ind w:left="360"/>
        <w:jc w:val="both"/>
        <w:rPr>
          <w:rFonts w:cs="Arial"/>
          <w:sz w:val="22"/>
          <w:szCs w:val="22"/>
        </w:rPr>
      </w:pPr>
      <w:r w:rsidRPr="00D84D4B">
        <w:rPr>
          <w:rFonts w:cs="Arial"/>
          <w:sz w:val="22"/>
          <w:szCs w:val="22"/>
        </w:rPr>
        <w:t xml:space="preserve">The Repair &amp; Maintenance (R&amp;M) expenses for the ensuing year FY 2015-16 has been estimated on the basis of 5.4% of Gross Fixed Assets (GFA) including the RGGVY and BGJY assets at the beginning of the year. The opening GFA works out to be Rs 1219 crores, based on which the proposed R&amp;M expenses is to the tune of Rs </w:t>
      </w:r>
      <w:r w:rsidR="00B033B1" w:rsidRPr="00D84D4B">
        <w:rPr>
          <w:rFonts w:cs="Arial"/>
          <w:sz w:val="22"/>
          <w:szCs w:val="22"/>
        </w:rPr>
        <w:t>65.81</w:t>
      </w:r>
      <w:r w:rsidR="00E41579" w:rsidRPr="00D84D4B">
        <w:rPr>
          <w:rFonts w:cs="Arial"/>
          <w:sz w:val="22"/>
          <w:szCs w:val="22"/>
        </w:rPr>
        <w:t>crores along with R&amp;M on RGGVY assets.</w:t>
      </w:r>
    </w:p>
    <w:p w:rsidR="004276A0" w:rsidRPr="00D84D4B" w:rsidRDefault="00703E04" w:rsidP="00E41579">
      <w:pPr>
        <w:spacing w:line="360" w:lineRule="auto"/>
        <w:ind w:left="360"/>
        <w:jc w:val="both"/>
        <w:rPr>
          <w:rFonts w:ascii="Arial" w:hAnsi="Arial" w:cs="Arial"/>
          <w:b/>
          <w:sz w:val="22"/>
          <w:szCs w:val="22"/>
        </w:rPr>
      </w:pPr>
      <w:r w:rsidRPr="00D84D4B">
        <w:rPr>
          <w:rFonts w:ascii="Arial" w:hAnsi="Arial" w:cs="Arial"/>
          <w:b/>
          <w:sz w:val="22"/>
          <w:szCs w:val="22"/>
        </w:rPr>
        <w:t xml:space="preserve">The total R&amp;M expenses for FY 2015-16 is projected at Rs. </w:t>
      </w:r>
      <w:r w:rsidR="00B033B1" w:rsidRPr="00D84D4B">
        <w:rPr>
          <w:rFonts w:ascii="Arial" w:hAnsi="Arial" w:cs="Arial"/>
          <w:b/>
          <w:sz w:val="22"/>
          <w:szCs w:val="22"/>
        </w:rPr>
        <w:t>97.33</w:t>
      </w:r>
      <w:r w:rsidRPr="00D84D4B">
        <w:rPr>
          <w:rFonts w:ascii="Arial" w:hAnsi="Arial" w:cs="Arial"/>
          <w:b/>
          <w:sz w:val="22"/>
          <w:szCs w:val="22"/>
        </w:rPr>
        <w:t xml:space="preserve"> Crore</w:t>
      </w:r>
      <w:r w:rsidR="00E41579" w:rsidRPr="00D84D4B">
        <w:rPr>
          <w:rFonts w:ascii="Arial" w:hAnsi="Arial" w:cs="Arial"/>
          <w:b/>
          <w:sz w:val="22"/>
          <w:szCs w:val="22"/>
        </w:rPr>
        <w:t xml:space="preserve"> along with special R&amp;M for Smart Metering of Rs.32 crore which was approved for FY 2014-15 by Hon’ble Commission  has been deferred to FY 2015-16.</w:t>
      </w:r>
    </w:p>
    <w:p w:rsidR="004276A0" w:rsidRPr="004E5857" w:rsidRDefault="004276A0" w:rsidP="000334F1">
      <w:pPr>
        <w:pStyle w:val="Heading1"/>
        <w:numPr>
          <w:ilvl w:val="1"/>
          <w:numId w:val="1"/>
        </w:numPr>
        <w:spacing w:line="360" w:lineRule="auto"/>
        <w:jc w:val="both"/>
        <w:rPr>
          <w:sz w:val="22"/>
          <w:szCs w:val="22"/>
        </w:rPr>
      </w:pPr>
      <w:bookmarkStart w:id="19" w:name="_Toc404940145"/>
      <w:r w:rsidRPr="004E5857">
        <w:rPr>
          <w:sz w:val="22"/>
          <w:szCs w:val="22"/>
        </w:rPr>
        <w:t>Provision for Bad and Doubtful Debts</w:t>
      </w:r>
      <w:bookmarkEnd w:id="19"/>
    </w:p>
    <w:p w:rsidR="00027BE1" w:rsidRPr="004E5857" w:rsidRDefault="00027BE1" w:rsidP="00027BE1">
      <w:pPr>
        <w:tabs>
          <w:tab w:val="left" w:pos="0"/>
          <w:tab w:val="left" w:pos="720"/>
        </w:tabs>
        <w:spacing w:after="180" w:line="360" w:lineRule="auto"/>
        <w:ind w:left="360"/>
        <w:jc w:val="both"/>
        <w:rPr>
          <w:rFonts w:ascii="Arial" w:hAnsi="Arial" w:cs="Arial"/>
          <w:sz w:val="22"/>
          <w:szCs w:val="22"/>
        </w:rPr>
      </w:pPr>
      <w:r w:rsidRPr="004E5857">
        <w:rPr>
          <w:rFonts w:ascii="Arial" w:hAnsi="Arial" w:cs="Arial"/>
          <w:sz w:val="22"/>
          <w:szCs w:val="22"/>
        </w:rPr>
        <w:t xml:space="preserve">In RST Order for FY2004-05, the Hon’ble OERC, vide clause 5.4.8 had specified that the difference between the 100% collection efficiency and collection efficiency as approved by the OERC after provisioning of 2.5% of Accrued Revenue as bad debts to be treated as working capital requirements and carrying cost/interest on working capital has been allowed as a pass through in the ARR. The licensee was expected to arrange the working capital towards such gap in collection of revenue.  The Hon’ble Commission had agreed to allow the carrying cost on such short term loans to meet working capital requirements. The licensee resubmits to the Commission that employing a single performance measure for determining operational efficiencies and annual revenue requirements is essential to ensure the turnaround in the Odisha Power Sector by allowing the costs, which is due. If the costs of the Petitioner are not met then the Petitioner will not be able to maintain the system and effect necessary improvements in the system to achieve the turnaround. </w:t>
      </w:r>
    </w:p>
    <w:p w:rsidR="00027BE1" w:rsidRPr="004E5857" w:rsidRDefault="00027BE1" w:rsidP="00027BE1">
      <w:pPr>
        <w:tabs>
          <w:tab w:val="left" w:pos="0"/>
          <w:tab w:val="left" w:pos="720"/>
        </w:tabs>
        <w:spacing w:after="180" w:line="360" w:lineRule="auto"/>
        <w:ind w:left="360"/>
        <w:jc w:val="both"/>
        <w:rPr>
          <w:rFonts w:ascii="Arial" w:hAnsi="Arial" w:cs="Arial"/>
          <w:sz w:val="22"/>
          <w:szCs w:val="22"/>
        </w:rPr>
      </w:pPr>
      <w:r w:rsidRPr="004E5857">
        <w:rPr>
          <w:rFonts w:ascii="Arial" w:hAnsi="Arial" w:cs="Arial"/>
          <w:sz w:val="22"/>
          <w:szCs w:val="22"/>
        </w:rPr>
        <w:lastRenderedPageBreak/>
        <w:t>The Licensee respectfully submits for the Commission’s consideration that considering the past accumulated losses and huge liabilities, it would be extremely difficult for the Petitioner to arrange working capital finance to bridge the revenue gap, which would arise due to non-ecognition of collection efficiency in determination of tariff.</w:t>
      </w:r>
    </w:p>
    <w:p w:rsidR="00027BE1" w:rsidRPr="004E5857" w:rsidRDefault="00027BE1" w:rsidP="00027BE1">
      <w:pPr>
        <w:spacing w:line="360" w:lineRule="auto"/>
        <w:ind w:left="360"/>
        <w:jc w:val="both"/>
        <w:rPr>
          <w:rFonts w:ascii="Arial" w:hAnsi="Arial" w:cs="Arial"/>
          <w:sz w:val="22"/>
          <w:szCs w:val="22"/>
        </w:rPr>
      </w:pPr>
      <w:r w:rsidRPr="004E5857">
        <w:rPr>
          <w:rFonts w:ascii="Arial" w:hAnsi="Arial" w:cs="Arial"/>
          <w:sz w:val="22"/>
          <w:szCs w:val="22"/>
        </w:rPr>
        <w:t xml:space="preserve">The Licensee while estimating the ARR for FY 2015-16 has considered the revenue from sale of power on accrual basis in line with the Commission’s Order on ARR and Tariff Petitions for FY 2005-06 to FY 2014-15. However, as it is difficult for Petitioner to arrange working capital finance due to continuance of huge accumulated Regulatory Gaps to bridge the gap of collection inefficiency, the Petitioner has considered the amount equivalent to the collection inefficiency as bad and doubtful debts while estimating the ARR for FY 2015-16 along with additional amount of Rs. - crs towards LD/PLD consumers. Considering the proposed collection efficiency of 98% for FY 2015-16, the bad debts of Rs </w:t>
      </w:r>
      <w:r w:rsidR="0032246D" w:rsidRPr="004E5857">
        <w:rPr>
          <w:rFonts w:ascii="Arial" w:hAnsi="Arial" w:cs="Arial"/>
          <w:sz w:val="22"/>
          <w:szCs w:val="22"/>
        </w:rPr>
        <w:t>36.24</w:t>
      </w:r>
      <w:r w:rsidRPr="004E5857">
        <w:rPr>
          <w:rFonts w:ascii="Arial" w:hAnsi="Arial" w:cs="Arial"/>
          <w:sz w:val="22"/>
          <w:szCs w:val="22"/>
        </w:rPr>
        <w:t xml:space="preserve"> crs has been considered as part of ARR for FY 2015-16. The Petitioner humbly requests the Commission to consider the bad debts equivalent to billing to collection gap to enable the Petitioner to recover its entire costs after duly considering the performance levels.</w:t>
      </w:r>
    </w:p>
    <w:p w:rsidR="004276A0" w:rsidRPr="004E5857" w:rsidRDefault="004276A0" w:rsidP="000334F1">
      <w:pPr>
        <w:pStyle w:val="Heading1"/>
        <w:numPr>
          <w:ilvl w:val="1"/>
          <w:numId w:val="1"/>
        </w:numPr>
        <w:spacing w:line="360" w:lineRule="auto"/>
        <w:jc w:val="both"/>
        <w:rPr>
          <w:sz w:val="22"/>
          <w:szCs w:val="22"/>
        </w:rPr>
      </w:pPr>
      <w:bookmarkStart w:id="20" w:name="_Toc404940146"/>
      <w:r w:rsidRPr="004E5857">
        <w:rPr>
          <w:sz w:val="22"/>
          <w:szCs w:val="22"/>
        </w:rPr>
        <w:t>Depreciation</w:t>
      </w:r>
      <w:bookmarkEnd w:id="20"/>
    </w:p>
    <w:p w:rsidR="00902188" w:rsidRPr="004E5857" w:rsidRDefault="00902188" w:rsidP="00902188">
      <w:pPr>
        <w:pStyle w:val="BodyText2"/>
        <w:spacing w:line="360" w:lineRule="auto"/>
        <w:ind w:left="360"/>
        <w:jc w:val="both"/>
        <w:rPr>
          <w:rFonts w:cs="Arial"/>
          <w:sz w:val="22"/>
          <w:szCs w:val="22"/>
        </w:rPr>
      </w:pPr>
      <w:r w:rsidRPr="004E5857">
        <w:rPr>
          <w:rFonts w:cs="Arial"/>
          <w:sz w:val="22"/>
          <w:szCs w:val="22"/>
        </w:rPr>
        <w:t>Depreciation has been provided only on assets available at the beginning of the year and no depreciation has been provided on assets created during the year. The method adopted for calculating depreciation is Straight Line Method (SLM) at pre-92 rates.</w:t>
      </w:r>
    </w:p>
    <w:p w:rsidR="00902188" w:rsidRPr="004E5857" w:rsidRDefault="00902188" w:rsidP="00902188">
      <w:pPr>
        <w:pStyle w:val="BodyText2"/>
        <w:spacing w:line="360" w:lineRule="auto"/>
        <w:ind w:left="360"/>
        <w:rPr>
          <w:rFonts w:cs="Arial"/>
          <w:sz w:val="22"/>
          <w:szCs w:val="22"/>
        </w:rPr>
      </w:pPr>
      <w:r w:rsidRPr="004E5857">
        <w:rPr>
          <w:rFonts w:cs="Arial"/>
          <w:sz w:val="22"/>
          <w:szCs w:val="22"/>
        </w:rPr>
        <w:t xml:space="preserve">The numerical details are given in OERC Form: F-19. </w:t>
      </w:r>
    </w:p>
    <w:p w:rsidR="00902188" w:rsidRPr="004E5857" w:rsidRDefault="00902188" w:rsidP="00902188">
      <w:pPr>
        <w:pStyle w:val="BodyText2"/>
        <w:spacing w:line="360" w:lineRule="auto"/>
        <w:ind w:left="360"/>
        <w:jc w:val="both"/>
        <w:rPr>
          <w:rFonts w:cs="Arial"/>
          <w:sz w:val="22"/>
          <w:szCs w:val="22"/>
        </w:rPr>
      </w:pPr>
      <w:r w:rsidRPr="004E5857">
        <w:rPr>
          <w:rFonts w:cs="Arial"/>
          <w:sz w:val="22"/>
          <w:szCs w:val="22"/>
        </w:rPr>
        <w:t>The depreciation for FY 2015-16 is projected at Rs 44.06 Crore.</w:t>
      </w:r>
    </w:p>
    <w:p w:rsidR="004276A0" w:rsidRPr="004E5857" w:rsidRDefault="004276A0" w:rsidP="000334F1">
      <w:pPr>
        <w:pStyle w:val="Heading1"/>
        <w:numPr>
          <w:ilvl w:val="1"/>
          <w:numId w:val="1"/>
        </w:numPr>
        <w:spacing w:line="360" w:lineRule="auto"/>
        <w:jc w:val="both"/>
        <w:rPr>
          <w:sz w:val="22"/>
          <w:szCs w:val="22"/>
        </w:rPr>
      </w:pPr>
      <w:bookmarkStart w:id="21" w:name="_Toc404940147"/>
      <w:r w:rsidRPr="004E5857">
        <w:rPr>
          <w:sz w:val="22"/>
          <w:szCs w:val="22"/>
        </w:rPr>
        <w:t>Interest Expenses</w:t>
      </w:r>
      <w:bookmarkEnd w:id="21"/>
    </w:p>
    <w:p w:rsidR="00330389" w:rsidRPr="004E5857" w:rsidRDefault="00330389" w:rsidP="00330389">
      <w:pPr>
        <w:spacing w:line="360" w:lineRule="auto"/>
        <w:jc w:val="both"/>
        <w:rPr>
          <w:rFonts w:ascii="Arial" w:hAnsi="Arial" w:cs="Arial"/>
          <w:sz w:val="22"/>
          <w:szCs w:val="22"/>
        </w:rPr>
      </w:pPr>
      <w:r w:rsidRPr="004E5857">
        <w:rPr>
          <w:rFonts w:ascii="Arial" w:hAnsi="Arial" w:cs="Arial"/>
          <w:sz w:val="22"/>
          <w:szCs w:val="22"/>
        </w:rPr>
        <w:t>The Licensee would like to submit that the assumptions with respect to outstanding loans and dues have been considered in line with the Commission’s previous Orders.</w:t>
      </w:r>
    </w:p>
    <w:p w:rsidR="00330389" w:rsidRPr="004E5857" w:rsidRDefault="00330389" w:rsidP="00330389">
      <w:pPr>
        <w:pStyle w:val="Heading1"/>
        <w:numPr>
          <w:ilvl w:val="2"/>
          <w:numId w:val="1"/>
        </w:numPr>
        <w:spacing w:line="360" w:lineRule="auto"/>
        <w:jc w:val="both"/>
        <w:rPr>
          <w:sz w:val="22"/>
          <w:szCs w:val="22"/>
        </w:rPr>
      </w:pPr>
      <w:bookmarkStart w:id="22" w:name="_Toc404940148"/>
      <w:r w:rsidRPr="004E5857">
        <w:rPr>
          <w:sz w:val="22"/>
          <w:szCs w:val="22"/>
        </w:rPr>
        <w:t>GRIDCO Loan and BST Outstanding</w:t>
      </w:r>
      <w:bookmarkEnd w:id="22"/>
    </w:p>
    <w:p w:rsidR="00330389" w:rsidRPr="004E5857" w:rsidRDefault="00330389" w:rsidP="00330389">
      <w:pPr>
        <w:spacing w:line="360" w:lineRule="auto"/>
        <w:jc w:val="both"/>
        <w:rPr>
          <w:rFonts w:ascii="Arial" w:hAnsi="Arial" w:cs="Arial"/>
          <w:b/>
          <w:bCs/>
          <w:sz w:val="22"/>
          <w:szCs w:val="22"/>
        </w:rPr>
      </w:pPr>
      <w:r w:rsidRPr="004E5857">
        <w:rPr>
          <w:rFonts w:ascii="Arial" w:hAnsi="Arial" w:cs="Arial"/>
          <w:sz w:val="22"/>
          <w:szCs w:val="22"/>
        </w:rPr>
        <w:t>The Hon’ble Commission passed an order on 20.07.2006 and 01.12.2008 in Case No.115 of 2014 which interalia provides the following;</w:t>
      </w:r>
    </w:p>
    <w:p w:rsidR="00330389" w:rsidRPr="004E5857" w:rsidRDefault="00330389" w:rsidP="00330389">
      <w:pPr>
        <w:numPr>
          <w:ilvl w:val="0"/>
          <w:numId w:val="9"/>
        </w:numPr>
        <w:spacing w:line="360" w:lineRule="auto"/>
        <w:jc w:val="both"/>
        <w:rPr>
          <w:rFonts w:ascii="Arial" w:hAnsi="Arial" w:cs="Arial"/>
          <w:sz w:val="22"/>
          <w:szCs w:val="22"/>
        </w:rPr>
      </w:pPr>
      <w:r w:rsidRPr="004E5857">
        <w:rPr>
          <w:rFonts w:ascii="Arial" w:hAnsi="Arial" w:cs="Arial"/>
          <w:sz w:val="22"/>
          <w:szCs w:val="22"/>
        </w:rPr>
        <w:t xml:space="preserve">The Discoms shall repay the outstanding loans including interest along with the securitised BST dues as on 31.03.2005 in ten years 120 monthly equal installments starting from FY 2006-07. </w:t>
      </w:r>
    </w:p>
    <w:p w:rsidR="00330389" w:rsidRPr="004E5857" w:rsidRDefault="00330389" w:rsidP="00330389">
      <w:pPr>
        <w:numPr>
          <w:ilvl w:val="0"/>
          <w:numId w:val="9"/>
        </w:numPr>
        <w:spacing w:line="360" w:lineRule="auto"/>
        <w:jc w:val="both"/>
        <w:rPr>
          <w:rFonts w:ascii="Arial" w:hAnsi="Arial" w:cs="Arial"/>
          <w:sz w:val="22"/>
          <w:szCs w:val="22"/>
        </w:rPr>
      </w:pPr>
      <w:r w:rsidRPr="004E5857">
        <w:rPr>
          <w:rFonts w:ascii="Arial" w:hAnsi="Arial" w:cs="Arial"/>
          <w:sz w:val="22"/>
          <w:szCs w:val="22"/>
        </w:rPr>
        <w:t>In case of default of monthly dues by the DISTCOs they shall liable to pay the Delayed Payment Surcharge (DPS) @1.25% per month.</w:t>
      </w:r>
    </w:p>
    <w:p w:rsidR="00330389" w:rsidRPr="004E5857" w:rsidRDefault="00330389" w:rsidP="00330389">
      <w:pPr>
        <w:spacing w:line="360" w:lineRule="auto"/>
        <w:ind w:left="1740"/>
        <w:jc w:val="both"/>
        <w:rPr>
          <w:rFonts w:ascii="Arial" w:hAnsi="Arial" w:cs="Arial"/>
          <w:sz w:val="22"/>
          <w:szCs w:val="22"/>
        </w:rPr>
      </w:pPr>
      <w:r w:rsidRPr="004E5857">
        <w:rPr>
          <w:rFonts w:ascii="Arial" w:hAnsi="Arial" w:cs="Arial"/>
          <w:sz w:val="22"/>
          <w:szCs w:val="22"/>
        </w:rPr>
        <w:lastRenderedPageBreak/>
        <w:t xml:space="preserve">The BST outstanding and the loan liability will carry 0% rate of Interest. At the same time the interest on the Bonds issued by GRIDCO against the power outstanding due to Gencos would be passed through in the BST. </w:t>
      </w:r>
    </w:p>
    <w:p w:rsidR="00330389" w:rsidRPr="004E5857" w:rsidRDefault="00330389" w:rsidP="00330389">
      <w:pPr>
        <w:spacing w:line="360" w:lineRule="auto"/>
        <w:jc w:val="both"/>
        <w:rPr>
          <w:rFonts w:ascii="Arial" w:hAnsi="Arial" w:cs="Arial"/>
          <w:sz w:val="22"/>
          <w:szCs w:val="22"/>
        </w:rPr>
      </w:pPr>
      <w:r w:rsidRPr="004E5857">
        <w:rPr>
          <w:rFonts w:ascii="Arial" w:hAnsi="Arial" w:cs="Arial"/>
          <w:sz w:val="22"/>
          <w:szCs w:val="22"/>
        </w:rPr>
        <w:t xml:space="preserve">The Hon’ble Commission included the opening BST outstanding as on 1.4.1999 and the Delayed Payment Surcharged upto the date of full payment of BST to be securitized. Therefore the Licensee was additionally burden by an amount of Rs. 63.85 Crore ( Rs.5.13 Crore opening balance and Rs.58.72 crore DPS). </w:t>
      </w:r>
    </w:p>
    <w:p w:rsidR="00330389" w:rsidRPr="004E5857" w:rsidRDefault="00330389" w:rsidP="00330389">
      <w:pPr>
        <w:spacing w:line="360" w:lineRule="auto"/>
        <w:jc w:val="both"/>
        <w:rPr>
          <w:rFonts w:ascii="Arial" w:hAnsi="Arial" w:cs="Arial"/>
          <w:sz w:val="22"/>
          <w:szCs w:val="22"/>
        </w:rPr>
      </w:pPr>
    </w:p>
    <w:p w:rsidR="00330389" w:rsidRPr="004E5857" w:rsidRDefault="00330389" w:rsidP="00330389">
      <w:pPr>
        <w:spacing w:line="360" w:lineRule="auto"/>
        <w:jc w:val="both"/>
        <w:rPr>
          <w:rFonts w:ascii="Arial" w:hAnsi="Arial" w:cs="Arial"/>
          <w:sz w:val="22"/>
          <w:szCs w:val="22"/>
        </w:rPr>
      </w:pPr>
      <w:r w:rsidRPr="004E5857">
        <w:rPr>
          <w:rFonts w:ascii="Arial" w:hAnsi="Arial" w:cs="Arial"/>
          <w:sz w:val="22"/>
          <w:szCs w:val="22"/>
        </w:rPr>
        <w:t>It was submitted that the Hon’ble Commission has already established a procedure for securitization in matters pertaining to the sale of CESCO as decided in the order approving the transaction documents for the sale of the Central Zone Electricity Distribution and retail supply Utility. The said order specifies the opening balance sheet and terms and conditions for repayment of the liabilities of GRIDCO. The terms and conditions of repayment of GRIDCO Loan &amp; BST outstanding is as under;</w:t>
      </w:r>
    </w:p>
    <w:p w:rsidR="00330389" w:rsidRPr="004E5857" w:rsidRDefault="00330389" w:rsidP="00330389">
      <w:pPr>
        <w:numPr>
          <w:ilvl w:val="2"/>
          <w:numId w:val="9"/>
        </w:numPr>
        <w:tabs>
          <w:tab w:val="clear" w:pos="2820"/>
        </w:tabs>
        <w:spacing w:line="360" w:lineRule="auto"/>
        <w:ind w:left="1440" w:hanging="360"/>
        <w:jc w:val="both"/>
        <w:rPr>
          <w:rFonts w:ascii="Arial" w:hAnsi="Arial" w:cs="Arial"/>
          <w:sz w:val="22"/>
          <w:szCs w:val="22"/>
        </w:rPr>
      </w:pPr>
      <w:r w:rsidRPr="004E5857">
        <w:rPr>
          <w:rFonts w:ascii="Arial" w:hAnsi="Arial" w:cs="Arial"/>
          <w:b/>
          <w:bCs/>
          <w:sz w:val="22"/>
          <w:szCs w:val="22"/>
        </w:rPr>
        <w:t>GRIDCO loan</w:t>
      </w:r>
      <w:r w:rsidRPr="004E5857">
        <w:rPr>
          <w:rFonts w:ascii="Arial" w:hAnsi="Arial" w:cs="Arial"/>
          <w:sz w:val="22"/>
          <w:szCs w:val="22"/>
        </w:rPr>
        <w:t xml:space="preserve"> liability would be repaid in </w:t>
      </w:r>
      <w:r w:rsidRPr="004E5857">
        <w:rPr>
          <w:rFonts w:ascii="Arial" w:hAnsi="Arial" w:cs="Arial"/>
          <w:b/>
          <w:bCs/>
          <w:sz w:val="22"/>
          <w:szCs w:val="22"/>
        </w:rPr>
        <w:t>10 equal annual installments after a moratorium of 5 years</w:t>
      </w:r>
      <w:r w:rsidRPr="004E5857">
        <w:rPr>
          <w:rFonts w:ascii="Arial" w:hAnsi="Arial" w:cs="Arial"/>
          <w:sz w:val="22"/>
          <w:szCs w:val="22"/>
        </w:rPr>
        <w:t xml:space="preserve"> from 01.04.2006. This carries interest rate of 0%.</w:t>
      </w:r>
    </w:p>
    <w:p w:rsidR="00330389" w:rsidRPr="004E5857" w:rsidRDefault="00330389" w:rsidP="00330389">
      <w:pPr>
        <w:numPr>
          <w:ilvl w:val="2"/>
          <w:numId w:val="9"/>
        </w:numPr>
        <w:tabs>
          <w:tab w:val="clear" w:pos="2820"/>
        </w:tabs>
        <w:spacing w:line="360" w:lineRule="auto"/>
        <w:ind w:left="1440" w:hanging="360"/>
        <w:jc w:val="both"/>
        <w:rPr>
          <w:rFonts w:ascii="Arial" w:hAnsi="Arial" w:cs="Arial"/>
          <w:sz w:val="22"/>
          <w:szCs w:val="22"/>
        </w:rPr>
      </w:pPr>
      <w:r w:rsidRPr="004E5857">
        <w:rPr>
          <w:rFonts w:ascii="Arial" w:hAnsi="Arial" w:cs="Arial"/>
          <w:b/>
          <w:bCs/>
          <w:sz w:val="22"/>
          <w:szCs w:val="22"/>
        </w:rPr>
        <w:t>BST outstanding</w:t>
      </w:r>
      <w:r w:rsidRPr="004E5857">
        <w:rPr>
          <w:rFonts w:ascii="Arial" w:hAnsi="Arial" w:cs="Arial"/>
          <w:sz w:val="22"/>
          <w:szCs w:val="22"/>
        </w:rPr>
        <w:t xml:space="preserve"> would be converted into Zero coupon preference shares of </w:t>
      </w:r>
      <w:r w:rsidRPr="004E5857">
        <w:rPr>
          <w:rFonts w:ascii="Arial" w:hAnsi="Arial" w:cs="Arial"/>
          <w:b/>
          <w:bCs/>
          <w:sz w:val="22"/>
          <w:szCs w:val="22"/>
        </w:rPr>
        <w:t>20 years maturity</w:t>
      </w:r>
      <w:r w:rsidRPr="004E5857">
        <w:rPr>
          <w:rFonts w:ascii="Arial" w:hAnsi="Arial" w:cs="Arial"/>
          <w:sz w:val="22"/>
          <w:szCs w:val="22"/>
        </w:rPr>
        <w:t>, with a moratorium period of 7years and to be redeemed into 52 equated quarterly installments from 8</w:t>
      </w:r>
      <w:r w:rsidRPr="004E5857">
        <w:rPr>
          <w:rFonts w:ascii="Arial" w:hAnsi="Arial" w:cs="Arial"/>
          <w:sz w:val="22"/>
          <w:szCs w:val="22"/>
          <w:vertAlign w:val="superscript"/>
        </w:rPr>
        <w:t>th</w:t>
      </w:r>
      <w:r w:rsidRPr="004E5857">
        <w:rPr>
          <w:rFonts w:ascii="Arial" w:hAnsi="Arial" w:cs="Arial"/>
          <w:sz w:val="22"/>
          <w:szCs w:val="22"/>
        </w:rPr>
        <w:t xml:space="preserve"> year onwards. </w:t>
      </w:r>
    </w:p>
    <w:p w:rsidR="00330389" w:rsidRPr="004E5857" w:rsidRDefault="00330389" w:rsidP="00330389">
      <w:pPr>
        <w:spacing w:line="360" w:lineRule="auto"/>
        <w:jc w:val="both"/>
        <w:rPr>
          <w:rFonts w:ascii="Arial" w:hAnsi="Arial" w:cs="Arial"/>
          <w:b/>
          <w:sz w:val="22"/>
          <w:szCs w:val="22"/>
        </w:rPr>
      </w:pPr>
      <w:r w:rsidRPr="004E5857">
        <w:rPr>
          <w:rFonts w:ascii="Arial" w:hAnsi="Arial" w:cs="Arial"/>
          <w:b/>
          <w:sz w:val="22"/>
          <w:szCs w:val="22"/>
        </w:rPr>
        <w:t xml:space="preserve">The Licensee submits before the Hon’ble commission to allow the Licensee to pay the amount of the securitized amount based on ability to pay basis considering the above proposal. The Licensee proposed to allow the regulatory assets equivalent to payable amount during the last 3 years which the Licensee shall recover and pay to GRIDCO during the ensuing year. </w:t>
      </w:r>
    </w:p>
    <w:p w:rsidR="00330389" w:rsidRPr="004E5857" w:rsidRDefault="00330389" w:rsidP="00330389">
      <w:pPr>
        <w:spacing w:line="360" w:lineRule="auto"/>
        <w:jc w:val="both"/>
        <w:rPr>
          <w:rFonts w:ascii="Arial" w:hAnsi="Arial" w:cs="Arial"/>
          <w:sz w:val="22"/>
          <w:szCs w:val="22"/>
        </w:rPr>
      </w:pPr>
    </w:p>
    <w:p w:rsidR="00330389" w:rsidRPr="004E5857" w:rsidRDefault="00330389" w:rsidP="00330389">
      <w:pPr>
        <w:pStyle w:val="BodyText2"/>
        <w:spacing w:line="360" w:lineRule="auto"/>
        <w:jc w:val="both"/>
        <w:rPr>
          <w:rFonts w:cs="Arial"/>
          <w:sz w:val="22"/>
          <w:szCs w:val="22"/>
        </w:rPr>
      </w:pPr>
      <w:r w:rsidRPr="004E5857">
        <w:rPr>
          <w:rFonts w:cs="Arial"/>
          <w:sz w:val="22"/>
          <w:szCs w:val="22"/>
        </w:rPr>
        <w:t>Further the Commission in its Order dated 29.03.2012 and 30.03.2012 resolved the dispute on the Power Bond and the amount arrived after the settlement adjustments issued as New Loan and the interest on the said new loan is included in Interest cost.</w:t>
      </w:r>
    </w:p>
    <w:p w:rsidR="00330389" w:rsidRPr="004E5857" w:rsidRDefault="00330389" w:rsidP="00330389">
      <w:pPr>
        <w:pStyle w:val="BodyText2"/>
        <w:spacing w:line="360" w:lineRule="auto"/>
        <w:jc w:val="both"/>
        <w:rPr>
          <w:rFonts w:cs="Arial"/>
          <w:sz w:val="22"/>
          <w:szCs w:val="22"/>
        </w:rPr>
      </w:pPr>
      <w:r w:rsidRPr="004E5857">
        <w:rPr>
          <w:rFonts w:cs="Arial"/>
          <w:sz w:val="22"/>
          <w:szCs w:val="22"/>
        </w:rPr>
        <w:t>There is no outstanding payable to GRIDCO towards New Loan.</w:t>
      </w:r>
    </w:p>
    <w:p w:rsidR="004276A0" w:rsidRPr="004E5857" w:rsidRDefault="004276A0" w:rsidP="003012C6">
      <w:pPr>
        <w:pStyle w:val="Heading1"/>
        <w:numPr>
          <w:ilvl w:val="2"/>
          <w:numId w:val="1"/>
        </w:numPr>
        <w:spacing w:line="360" w:lineRule="auto"/>
        <w:jc w:val="both"/>
        <w:rPr>
          <w:sz w:val="22"/>
          <w:szCs w:val="22"/>
        </w:rPr>
      </w:pPr>
      <w:bookmarkStart w:id="23" w:name="_Toc404940149"/>
      <w:r w:rsidRPr="004E5857">
        <w:rPr>
          <w:sz w:val="22"/>
          <w:szCs w:val="22"/>
        </w:rPr>
        <w:t>World Bank Loan</w:t>
      </w:r>
      <w:bookmarkEnd w:id="23"/>
    </w:p>
    <w:p w:rsidR="00DF5297" w:rsidRPr="004E5857" w:rsidRDefault="00DF5297" w:rsidP="00DF5297">
      <w:pPr>
        <w:spacing w:line="360" w:lineRule="auto"/>
        <w:ind w:left="360"/>
        <w:jc w:val="both"/>
        <w:rPr>
          <w:rFonts w:ascii="Arial" w:hAnsi="Arial" w:cs="Arial"/>
          <w:sz w:val="22"/>
          <w:szCs w:val="22"/>
        </w:rPr>
      </w:pPr>
      <w:r w:rsidRPr="004E5857">
        <w:rPr>
          <w:rFonts w:ascii="Arial" w:hAnsi="Arial" w:cs="Arial"/>
          <w:sz w:val="22"/>
          <w:szCs w:val="22"/>
        </w:rPr>
        <w:t xml:space="preserve">In line with the Commission’s previous Orders, the Licensee has calculated the interest on World Bank Loan @ 13% as per the subsidiary loan &amp; project implementation agreement with Government of Odisha, considering 30% of loan as grant and balance 70% as loan. The moratorium period and repayment period for the World Bank Loan has been considered based on the terms of the World Bank (communicated by World Bank to GoO </w:t>
      </w:r>
      <w:r w:rsidRPr="004E5857">
        <w:rPr>
          <w:rFonts w:ascii="Arial" w:hAnsi="Arial" w:cs="Arial"/>
          <w:sz w:val="22"/>
          <w:szCs w:val="22"/>
        </w:rPr>
        <w:lastRenderedPageBreak/>
        <w:t xml:space="preserve">vide its letter dated June 13, 2000). In line with these terms, the repayment period has been considered as 10 years with 20 equal semi-annual installments commencing from FY 2015-16. </w:t>
      </w:r>
    </w:p>
    <w:p w:rsidR="00DF5297" w:rsidRPr="004E5857" w:rsidRDefault="00DF5297" w:rsidP="00DF5297">
      <w:pPr>
        <w:spacing w:line="360" w:lineRule="auto"/>
        <w:ind w:left="360"/>
        <w:jc w:val="both"/>
        <w:rPr>
          <w:rFonts w:ascii="Arial" w:hAnsi="Arial" w:cs="Arial"/>
          <w:sz w:val="22"/>
          <w:szCs w:val="22"/>
        </w:rPr>
      </w:pPr>
      <w:r w:rsidRPr="004E5857">
        <w:rPr>
          <w:rFonts w:ascii="Arial" w:hAnsi="Arial" w:cs="Arial"/>
          <w:sz w:val="22"/>
          <w:szCs w:val="22"/>
        </w:rPr>
        <w:t>For the ensuing year 2015-16, the interest liability is estimated at 10.38 Crore and the repayment liability is estimated at Rs. 9.13 Crore.</w:t>
      </w:r>
    </w:p>
    <w:p w:rsidR="004276A0" w:rsidRPr="004E5857" w:rsidRDefault="004276A0" w:rsidP="004276A0">
      <w:pPr>
        <w:pStyle w:val="BodyText2"/>
        <w:tabs>
          <w:tab w:val="left" w:pos="0"/>
        </w:tabs>
        <w:spacing w:line="360" w:lineRule="auto"/>
        <w:jc w:val="both"/>
        <w:rPr>
          <w:rFonts w:cs="Arial"/>
          <w:sz w:val="22"/>
          <w:szCs w:val="22"/>
        </w:rPr>
      </w:pPr>
      <w:r w:rsidRPr="004E5857">
        <w:rPr>
          <w:rFonts w:cs="Arial"/>
          <w:sz w:val="22"/>
          <w:szCs w:val="22"/>
        </w:rPr>
        <w:t xml:space="preserve">. </w:t>
      </w:r>
    </w:p>
    <w:p w:rsidR="004276A0" w:rsidRPr="004E5857" w:rsidRDefault="004276A0" w:rsidP="003012C6">
      <w:pPr>
        <w:pStyle w:val="Heading1"/>
        <w:numPr>
          <w:ilvl w:val="2"/>
          <w:numId w:val="1"/>
        </w:numPr>
        <w:spacing w:line="360" w:lineRule="auto"/>
        <w:jc w:val="both"/>
        <w:rPr>
          <w:sz w:val="22"/>
          <w:szCs w:val="22"/>
        </w:rPr>
      </w:pPr>
      <w:bookmarkStart w:id="24" w:name="_Toc404940150"/>
      <w:r w:rsidRPr="004E5857">
        <w:rPr>
          <w:sz w:val="22"/>
          <w:szCs w:val="22"/>
        </w:rPr>
        <w:t>Capex Loan from Govt. of Odisha</w:t>
      </w:r>
      <w:bookmarkEnd w:id="24"/>
    </w:p>
    <w:p w:rsidR="00DF5297" w:rsidRPr="004E5857" w:rsidRDefault="00DF5297" w:rsidP="00DF5297">
      <w:pPr>
        <w:pStyle w:val="BodyText2"/>
        <w:tabs>
          <w:tab w:val="left" w:pos="0"/>
        </w:tabs>
        <w:spacing w:line="360" w:lineRule="auto"/>
        <w:ind w:left="360"/>
        <w:jc w:val="both"/>
        <w:rPr>
          <w:rFonts w:cs="Arial"/>
          <w:sz w:val="22"/>
          <w:szCs w:val="22"/>
        </w:rPr>
      </w:pPr>
      <w:r w:rsidRPr="004E5857">
        <w:rPr>
          <w:rFonts w:cs="Arial"/>
          <w:sz w:val="22"/>
          <w:szCs w:val="22"/>
        </w:rPr>
        <w:t xml:space="preserve">During the ensuing year an amount of Rs. 8.73 crs towards interest has been estimated towards Govt. of Odisha Capex plan loan. As per the scheme an amount of Rs.141 crs during the current year and Rs. 68 crs during ensuing year will be disbursed by Govt. of Odisha for the above scheme. The rate of interest is considered @ 4% p.a for the ensuing year on the above loan.  </w:t>
      </w:r>
    </w:p>
    <w:p w:rsidR="004276A0" w:rsidRPr="004E5857" w:rsidRDefault="004276A0" w:rsidP="00DB454F">
      <w:pPr>
        <w:pStyle w:val="Heading1"/>
        <w:numPr>
          <w:ilvl w:val="2"/>
          <w:numId w:val="1"/>
        </w:numPr>
        <w:spacing w:line="360" w:lineRule="auto"/>
        <w:jc w:val="both"/>
        <w:rPr>
          <w:sz w:val="22"/>
          <w:szCs w:val="22"/>
        </w:rPr>
      </w:pPr>
      <w:bookmarkStart w:id="25" w:name="_Toc404940151"/>
      <w:r w:rsidRPr="004E5857">
        <w:rPr>
          <w:sz w:val="22"/>
          <w:szCs w:val="22"/>
        </w:rPr>
        <w:t>Interest on SISchemes</w:t>
      </w:r>
      <w:r w:rsidR="00DB454F" w:rsidRPr="004E5857">
        <w:rPr>
          <w:sz w:val="22"/>
          <w:szCs w:val="22"/>
        </w:rPr>
        <w:t>&amp;</w:t>
      </w:r>
      <w:r w:rsidR="005A5364">
        <w:rPr>
          <w:sz w:val="22"/>
          <w:szCs w:val="22"/>
        </w:rPr>
        <w:t xml:space="preserve"> counter</w:t>
      </w:r>
      <w:r w:rsidRPr="004E5857">
        <w:rPr>
          <w:sz w:val="22"/>
          <w:szCs w:val="22"/>
        </w:rPr>
        <w:t>part funding from REC for G</w:t>
      </w:r>
      <w:r w:rsidR="00DB454F" w:rsidRPr="004E5857">
        <w:rPr>
          <w:sz w:val="22"/>
          <w:szCs w:val="22"/>
        </w:rPr>
        <w:t>oO Capex</w:t>
      </w:r>
      <w:bookmarkEnd w:id="25"/>
    </w:p>
    <w:p w:rsidR="00DF5297" w:rsidRPr="004E5857" w:rsidRDefault="00DF5297" w:rsidP="00DF5297">
      <w:pPr>
        <w:pStyle w:val="BodyText2"/>
        <w:tabs>
          <w:tab w:val="left" w:pos="0"/>
        </w:tabs>
        <w:spacing w:line="360" w:lineRule="auto"/>
        <w:ind w:left="360"/>
        <w:jc w:val="both"/>
        <w:rPr>
          <w:rFonts w:cs="Arial"/>
          <w:sz w:val="22"/>
          <w:szCs w:val="22"/>
        </w:rPr>
      </w:pPr>
      <w:r w:rsidRPr="004E5857">
        <w:rPr>
          <w:rFonts w:cs="Arial"/>
          <w:sz w:val="22"/>
          <w:szCs w:val="22"/>
        </w:rPr>
        <w:t>The Licensee has no existing balance of loan taken from REC availed for system improvem</w:t>
      </w:r>
      <w:r w:rsidR="005A5364">
        <w:rPr>
          <w:rFonts w:cs="Arial"/>
          <w:sz w:val="22"/>
          <w:szCs w:val="22"/>
        </w:rPr>
        <w:t>ent and counter</w:t>
      </w:r>
      <w:r w:rsidRPr="004E5857">
        <w:rPr>
          <w:rFonts w:cs="Arial"/>
          <w:sz w:val="22"/>
          <w:szCs w:val="22"/>
        </w:rPr>
        <w:t>part funding against APDRP. Further the licensee proposes to avail Rs. 17.50 crs during the current year and Rs. 45.50 crs during ensuing year from REC/IDBI at interest rate of 13.5% p.a. The interest on such loan for FY15- 16 is estimated as Rs 4.43 Crores.</w:t>
      </w:r>
    </w:p>
    <w:p w:rsidR="004276A0" w:rsidRPr="004E5857" w:rsidRDefault="004276A0" w:rsidP="003012C6">
      <w:pPr>
        <w:pStyle w:val="Heading1"/>
        <w:numPr>
          <w:ilvl w:val="2"/>
          <w:numId w:val="1"/>
        </w:numPr>
        <w:spacing w:line="360" w:lineRule="auto"/>
        <w:jc w:val="both"/>
        <w:rPr>
          <w:sz w:val="22"/>
          <w:szCs w:val="22"/>
        </w:rPr>
      </w:pPr>
      <w:bookmarkStart w:id="26" w:name="_Toc404940152"/>
      <w:r w:rsidRPr="004E5857">
        <w:rPr>
          <w:sz w:val="22"/>
          <w:szCs w:val="22"/>
        </w:rPr>
        <w:t>Interest on Security Deposit</w:t>
      </w:r>
      <w:bookmarkEnd w:id="26"/>
    </w:p>
    <w:p w:rsidR="00DF5297" w:rsidRPr="004E5857" w:rsidRDefault="00DF5297" w:rsidP="00DF5297">
      <w:pPr>
        <w:pStyle w:val="PwcUttaranchalNormalTextFinalCharChar"/>
        <w:ind w:left="360"/>
        <w:rPr>
          <w:sz w:val="22"/>
          <w:szCs w:val="22"/>
        </w:rPr>
      </w:pPr>
      <w:r w:rsidRPr="004E5857">
        <w:rPr>
          <w:sz w:val="22"/>
          <w:szCs w:val="22"/>
        </w:rPr>
        <w:t xml:space="preserve">Section 47(4) of the Electricity Act 2003 states that “The distribution licensee shall pay interest equivalent to the bank rate or more, as may be specified by the concerned State Commission, on the security referred to in sub-section (1) and refund such security on the request of the person who gave such security.” </w:t>
      </w:r>
    </w:p>
    <w:p w:rsidR="00DF5297" w:rsidRPr="004E5857" w:rsidRDefault="00DF5297" w:rsidP="00DF5297">
      <w:pPr>
        <w:pStyle w:val="PwcUttaranchalNormalTextFinalCharChar"/>
        <w:ind w:left="360"/>
        <w:rPr>
          <w:sz w:val="22"/>
          <w:szCs w:val="22"/>
        </w:rPr>
      </w:pPr>
      <w:r w:rsidRPr="004E5857">
        <w:rPr>
          <w:sz w:val="22"/>
          <w:szCs w:val="22"/>
        </w:rPr>
        <w:t xml:space="preserve">The OERC Distribution (Conditions of Supply) Code 2004, Regulation (21) also mandates the payment of interest on consumer security deposit, the manner in which it is to be administered and penal provisions for delay in making such payments. </w:t>
      </w:r>
    </w:p>
    <w:p w:rsidR="00DF5297" w:rsidRPr="004E5857" w:rsidRDefault="00DF5297" w:rsidP="00DF5297">
      <w:pPr>
        <w:spacing w:line="360" w:lineRule="auto"/>
        <w:ind w:left="360"/>
        <w:jc w:val="both"/>
        <w:rPr>
          <w:rFonts w:ascii="Arial" w:hAnsi="Arial" w:cs="Arial"/>
          <w:sz w:val="22"/>
          <w:szCs w:val="22"/>
        </w:rPr>
      </w:pPr>
      <w:r w:rsidRPr="004E5857">
        <w:rPr>
          <w:rFonts w:ascii="Arial" w:hAnsi="Arial" w:cs="Arial"/>
          <w:sz w:val="22"/>
          <w:szCs w:val="22"/>
        </w:rPr>
        <w:t xml:space="preserve">The licensees have calculated the interest on security deposit @ 8.75%on the closing balance of security deposit amount for FY 2014-15. The total interest on security deposit considered in ARR for FY 2015-16 works out to Rs.. 39.10 Crore. </w:t>
      </w:r>
    </w:p>
    <w:p w:rsidR="004276A0" w:rsidRPr="004E5857" w:rsidRDefault="004276A0" w:rsidP="004276A0">
      <w:pPr>
        <w:spacing w:line="360" w:lineRule="auto"/>
        <w:jc w:val="both"/>
        <w:rPr>
          <w:rFonts w:ascii="Arial" w:hAnsi="Arial" w:cs="Arial"/>
          <w:sz w:val="22"/>
          <w:szCs w:val="22"/>
        </w:rPr>
      </w:pPr>
    </w:p>
    <w:p w:rsidR="004276A0" w:rsidRPr="004E5857" w:rsidRDefault="004276A0" w:rsidP="003012C6">
      <w:pPr>
        <w:pStyle w:val="Heading1"/>
        <w:numPr>
          <w:ilvl w:val="2"/>
          <w:numId w:val="1"/>
        </w:numPr>
        <w:spacing w:line="360" w:lineRule="auto"/>
        <w:jc w:val="both"/>
        <w:rPr>
          <w:sz w:val="22"/>
          <w:szCs w:val="22"/>
        </w:rPr>
      </w:pPr>
      <w:bookmarkStart w:id="27" w:name="_Toc404940153"/>
      <w:r w:rsidRPr="004E5857">
        <w:rPr>
          <w:sz w:val="22"/>
          <w:szCs w:val="22"/>
        </w:rPr>
        <w:lastRenderedPageBreak/>
        <w:t>Interest Capitalized</w:t>
      </w:r>
      <w:bookmarkEnd w:id="27"/>
    </w:p>
    <w:p w:rsidR="00304ED6" w:rsidRPr="004E5857" w:rsidRDefault="00304ED6" w:rsidP="00304ED6">
      <w:pPr>
        <w:pStyle w:val="BodyText2"/>
        <w:spacing w:line="360" w:lineRule="auto"/>
        <w:ind w:left="360"/>
        <w:jc w:val="both"/>
        <w:rPr>
          <w:rFonts w:cs="Arial"/>
          <w:sz w:val="22"/>
          <w:szCs w:val="22"/>
        </w:rPr>
      </w:pPr>
      <w:r w:rsidRPr="004E5857">
        <w:rPr>
          <w:rFonts w:cs="Arial"/>
          <w:sz w:val="22"/>
          <w:szCs w:val="22"/>
        </w:rPr>
        <w:t>The interest on loan outstanding at the beginning of the year has been considered as revenue expense as a part of ARR. The interest on loan to be drawn during the ensuing year for capital works amounting to Rs. 6.58 Crores has been capitalized.</w:t>
      </w:r>
    </w:p>
    <w:p w:rsidR="004276A0" w:rsidRPr="004E5857" w:rsidRDefault="004276A0" w:rsidP="003012C6">
      <w:pPr>
        <w:pStyle w:val="Heading1"/>
        <w:numPr>
          <w:ilvl w:val="2"/>
          <w:numId w:val="1"/>
        </w:numPr>
        <w:spacing w:line="360" w:lineRule="auto"/>
        <w:jc w:val="both"/>
        <w:rPr>
          <w:sz w:val="22"/>
          <w:szCs w:val="22"/>
        </w:rPr>
      </w:pPr>
      <w:bookmarkStart w:id="28" w:name="_Toc404940154"/>
      <w:r w:rsidRPr="004E5857">
        <w:rPr>
          <w:sz w:val="22"/>
          <w:szCs w:val="22"/>
        </w:rPr>
        <w:t>Total Interest for Financial Year FY 2015-16</w:t>
      </w:r>
      <w:bookmarkEnd w:id="28"/>
    </w:p>
    <w:p w:rsidR="00304ED6" w:rsidRPr="004E5857" w:rsidRDefault="00304ED6" w:rsidP="00304ED6">
      <w:pPr>
        <w:pStyle w:val="BodyText2"/>
        <w:spacing w:line="360" w:lineRule="auto"/>
        <w:ind w:left="360"/>
        <w:jc w:val="both"/>
        <w:rPr>
          <w:rFonts w:cs="Arial"/>
          <w:sz w:val="22"/>
          <w:szCs w:val="22"/>
        </w:rPr>
      </w:pPr>
      <w:bookmarkStart w:id="29" w:name="_Toc88894957"/>
      <w:bookmarkStart w:id="30" w:name="_Toc278829409"/>
      <w:r w:rsidRPr="004E5857">
        <w:rPr>
          <w:rFonts w:cs="Arial"/>
          <w:sz w:val="22"/>
          <w:szCs w:val="22"/>
        </w:rPr>
        <w:t>The total interest expenses estimated for FY 2015-16 is given in following Table:</w:t>
      </w:r>
    </w:p>
    <w:p w:rsidR="00304ED6" w:rsidRPr="004E5857" w:rsidRDefault="00304ED6" w:rsidP="00304ED6">
      <w:pPr>
        <w:pStyle w:val="BodyText2"/>
        <w:spacing w:line="360" w:lineRule="auto"/>
        <w:ind w:left="360"/>
        <w:jc w:val="both"/>
        <w:rPr>
          <w:rFonts w:cs="Arial"/>
          <w:b/>
          <w:bCs/>
          <w:sz w:val="22"/>
          <w:szCs w:val="22"/>
        </w:rPr>
      </w:pPr>
      <w:r w:rsidRPr="004E5857">
        <w:rPr>
          <w:rFonts w:cs="Arial"/>
          <w:b/>
          <w:bCs/>
          <w:sz w:val="22"/>
          <w:szCs w:val="22"/>
        </w:rPr>
        <w:t xml:space="preserve"> Summary of Interest Expenses</w:t>
      </w:r>
    </w:p>
    <w:tbl>
      <w:tblPr>
        <w:tblW w:w="0" w:type="auto"/>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115" w:type="dxa"/>
          <w:right w:w="115" w:type="dxa"/>
        </w:tblCellMar>
        <w:tblLook w:val="01E0"/>
      </w:tblPr>
      <w:tblGrid>
        <w:gridCol w:w="399"/>
        <w:gridCol w:w="4819"/>
        <w:gridCol w:w="1843"/>
      </w:tblGrid>
      <w:tr w:rsidR="00304ED6" w:rsidRPr="004E5857" w:rsidTr="00AE0BAB">
        <w:tc>
          <w:tcPr>
            <w:tcW w:w="399" w:type="dxa"/>
            <w:shd w:val="clear" w:color="auto" w:fill="FFFFFF"/>
          </w:tcPr>
          <w:p w:rsidR="00304ED6" w:rsidRPr="004E5857" w:rsidRDefault="00304ED6" w:rsidP="00AE0BAB">
            <w:pPr>
              <w:pStyle w:val="NoSpacing"/>
              <w:rPr>
                <w:rFonts w:ascii="Arial" w:hAnsi="Arial" w:cs="Arial"/>
              </w:rPr>
            </w:pPr>
          </w:p>
        </w:tc>
        <w:tc>
          <w:tcPr>
            <w:tcW w:w="4819" w:type="dxa"/>
            <w:shd w:val="clear" w:color="auto" w:fill="FFFFFF"/>
          </w:tcPr>
          <w:p w:rsidR="00304ED6" w:rsidRPr="004E5857" w:rsidRDefault="00304ED6" w:rsidP="00AE0BAB">
            <w:pPr>
              <w:pStyle w:val="NoSpacing"/>
              <w:rPr>
                <w:rFonts w:ascii="Arial" w:hAnsi="Arial" w:cs="Arial"/>
              </w:rPr>
            </w:pPr>
          </w:p>
        </w:tc>
        <w:tc>
          <w:tcPr>
            <w:tcW w:w="1843" w:type="dxa"/>
            <w:shd w:val="clear" w:color="auto" w:fill="FFFFFF"/>
          </w:tcPr>
          <w:p w:rsidR="00304ED6" w:rsidRPr="004E5857" w:rsidRDefault="00304ED6" w:rsidP="00AE0BAB">
            <w:pPr>
              <w:pStyle w:val="NoSpacing"/>
              <w:rPr>
                <w:rFonts w:ascii="Arial" w:hAnsi="Arial" w:cs="Arial"/>
                <w:b/>
                <w:bCs/>
              </w:rPr>
            </w:pPr>
            <w:r w:rsidRPr="004E5857">
              <w:rPr>
                <w:rFonts w:ascii="Arial" w:hAnsi="Arial" w:cs="Arial"/>
                <w:b/>
                <w:bCs/>
              </w:rPr>
              <w:t>Rs. In crs.</w:t>
            </w:r>
          </w:p>
        </w:tc>
      </w:tr>
      <w:tr w:rsidR="00304ED6" w:rsidRPr="004E5857" w:rsidTr="00AE0BAB">
        <w:tc>
          <w:tcPr>
            <w:tcW w:w="399" w:type="dxa"/>
            <w:shd w:val="clear" w:color="auto" w:fill="FFFFFF"/>
          </w:tcPr>
          <w:p w:rsidR="00304ED6" w:rsidRPr="004E5857" w:rsidRDefault="00304ED6" w:rsidP="00AE0BAB">
            <w:pPr>
              <w:pStyle w:val="NoSpacing"/>
              <w:rPr>
                <w:rFonts w:ascii="Arial" w:hAnsi="Arial" w:cs="Arial"/>
              </w:rPr>
            </w:pPr>
            <w:r w:rsidRPr="004E5857">
              <w:rPr>
                <w:rFonts w:ascii="Arial" w:hAnsi="Arial" w:cs="Arial"/>
              </w:rPr>
              <w:t>1</w:t>
            </w:r>
          </w:p>
        </w:tc>
        <w:tc>
          <w:tcPr>
            <w:tcW w:w="4819" w:type="dxa"/>
            <w:shd w:val="clear" w:color="auto" w:fill="FFFFFF"/>
          </w:tcPr>
          <w:p w:rsidR="00304ED6" w:rsidRPr="004E5857" w:rsidRDefault="00304ED6" w:rsidP="00AE0BAB">
            <w:pPr>
              <w:pStyle w:val="NoSpacing"/>
              <w:rPr>
                <w:rFonts w:ascii="Arial" w:hAnsi="Arial" w:cs="Arial"/>
              </w:rPr>
            </w:pPr>
            <w:r w:rsidRPr="004E5857">
              <w:rPr>
                <w:rFonts w:ascii="Arial" w:hAnsi="Arial" w:cs="Arial"/>
              </w:rPr>
              <w:t>World Bank</w:t>
            </w:r>
          </w:p>
        </w:tc>
        <w:tc>
          <w:tcPr>
            <w:tcW w:w="1843" w:type="dxa"/>
            <w:shd w:val="clear" w:color="auto" w:fill="FFFFFF"/>
          </w:tcPr>
          <w:p w:rsidR="00304ED6" w:rsidRPr="004E5857" w:rsidRDefault="00304ED6" w:rsidP="00AE0BAB">
            <w:pPr>
              <w:pStyle w:val="NoSpacing"/>
              <w:jc w:val="right"/>
              <w:rPr>
                <w:rFonts w:ascii="Arial" w:hAnsi="Arial" w:cs="Arial"/>
                <w:bCs/>
              </w:rPr>
            </w:pPr>
            <w:r w:rsidRPr="004E5857">
              <w:rPr>
                <w:rFonts w:ascii="Arial" w:hAnsi="Arial" w:cs="Arial"/>
                <w:bCs/>
              </w:rPr>
              <w:t>10.38</w:t>
            </w:r>
          </w:p>
        </w:tc>
      </w:tr>
      <w:tr w:rsidR="00304ED6" w:rsidRPr="004E5857" w:rsidTr="00AE0BAB">
        <w:tc>
          <w:tcPr>
            <w:tcW w:w="399" w:type="dxa"/>
            <w:shd w:val="clear" w:color="auto" w:fill="FFFFFF"/>
          </w:tcPr>
          <w:p w:rsidR="00304ED6" w:rsidRPr="004E5857" w:rsidRDefault="00304ED6" w:rsidP="00AE0BAB">
            <w:pPr>
              <w:pStyle w:val="NoSpacing"/>
              <w:rPr>
                <w:rFonts w:ascii="Arial" w:hAnsi="Arial" w:cs="Arial"/>
              </w:rPr>
            </w:pPr>
            <w:r w:rsidRPr="004E5857">
              <w:rPr>
                <w:rFonts w:ascii="Arial" w:hAnsi="Arial" w:cs="Arial"/>
              </w:rPr>
              <w:t>2</w:t>
            </w:r>
          </w:p>
        </w:tc>
        <w:tc>
          <w:tcPr>
            <w:tcW w:w="4819" w:type="dxa"/>
            <w:shd w:val="clear" w:color="auto" w:fill="FFFFFF"/>
          </w:tcPr>
          <w:p w:rsidR="00304ED6" w:rsidRPr="004E5857" w:rsidRDefault="00304ED6" w:rsidP="00AE0BAB">
            <w:pPr>
              <w:pStyle w:val="NoSpacing"/>
              <w:rPr>
                <w:rFonts w:ascii="Arial" w:hAnsi="Arial" w:cs="Arial"/>
              </w:rPr>
            </w:pPr>
            <w:r w:rsidRPr="004E5857">
              <w:rPr>
                <w:rFonts w:ascii="Arial" w:hAnsi="Arial" w:cs="Arial"/>
              </w:rPr>
              <w:t xml:space="preserve">GoO-APDRP </w:t>
            </w:r>
          </w:p>
        </w:tc>
        <w:tc>
          <w:tcPr>
            <w:tcW w:w="1843" w:type="dxa"/>
            <w:shd w:val="clear" w:color="auto" w:fill="FFFFFF"/>
          </w:tcPr>
          <w:p w:rsidR="00304ED6" w:rsidRPr="004E5857" w:rsidRDefault="00304ED6" w:rsidP="00AE0BAB">
            <w:pPr>
              <w:pStyle w:val="NoSpacing"/>
              <w:jc w:val="right"/>
              <w:rPr>
                <w:rFonts w:ascii="Arial" w:hAnsi="Arial" w:cs="Arial"/>
                <w:bCs/>
              </w:rPr>
            </w:pPr>
            <w:r w:rsidRPr="004E5857">
              <w:rPr>
                <w:rFonts w:ascii="Arial" w:hAnsi="Arial" w:cs="Arial"/>
                <w:bCs/>
              </w:rPr>
              <w:t>0.76</w:t>
            </w:r>
          </w:p>
        </w:tc>
      </w:tr>
      <w:tr w:rsidR="00304ED6" w:rsidRPr="004E5857" w:rsidTr="00AE0BAB">
        <w:tc>
          <w:tcPr>
            <w:tcW w:w="399" w:type="dxa"/>
            <w:shd w:val="clear" w:color="auto" w:fill="FFFFFF"/>
          </w:tcPr>
          <w:p w:rsidR="00304ED6" w:rsidRPr="004E5857" w:rsidRDefault="00304ED6" w:rsidP="00AE0BAB">
            <w:pPr>
              <w:pStyle w:val="NoSpacing"/>
              <w:rPr>
                <w:rFonts w:ascii="Arial" w:hAnsi="Arial" w:cs="Arial"/>
              </w:rPr>
            </w:pPr>
            <w:r w:rsidRPr="004E5857">
              <w:rPr>
                <w:rFonts w:ascii="Arial" w:hAnsi="Arial" w:cs="Arial"/>
              </w:rPr>
              <w:t>3</w:t>
            </w:r>
          </w:p>
        </w:tc>
        <w:tc>
          <w:tcPr>
            <w:tcW w:w="4819" w:type="dxa"/>
            <w:shd w:val="clear" w:color="auto" w:fill="FFFFFF"/>
          </w:tcPr>
          <w:p w:rsidR="00304ED6" w:rsidRPr="004E5857" w:rsidRDefault="00304ED6" w:rsidP="00AE0BAB">
            <w:pPr>
              <w:pStyle w:val="NoSpacing"/>
              <w:rPr>
                <w:rFonts w:ascii="Arial" w:hAnsi="Arial" w:cs="Arial"/>
              </w:rPr>
            </w:pPr>
            <w:r w:rsidRPr="004E5857">
              <w:rPr>
                <w:rFonts w:ascii="Arial" w:hAnsi="Arial" w:cs="Arial"/>
              </w:rPr>
              <w:t>REC-Counterpart &amp; SI Scheme</w:t>
            </w:r>
          </w:p>
        </w:tc>
        <w:tc>
          <w:tcPr>
            <w:tcW w:w="1843" w:type="dxa"/>
            <w:shd w:val="clear" w:color="auto" w:fill="FFFFFF"/>
          </w:tcPr>
          <w:p w:rsidR="00304ED6" w:rsidRPr="004E5857" w:rsidRDefault="00304ED6" w:rsidP="00AE0BAB">
            <w:pPr>
              <w:pStyle w:val="NoSpacing"/>
              <w:jc w:val="right"/>
              <w:rPr>
                <w:rFonts w:ascii="Arial" w:hAnsi="Arial" w:cs="Arial"/>
                <w:bCs/>
              </w:rPr>
            </w:pPr>
            <w:r w:rsidRPr="004E5857">
              <w:rPr>
                <w:rFonts w:ascii="Arial" w:hAnsi="Arial" w:cs="Arial"/>
                <w:bCs/>
              </w:rPr>
              <w:t>4.43</w:t>
            </w:r>
          </w:p>
        </w:tc>
      </w:tr>
      <w:tr w:rsidR="00304ED6" w:rsidRPr="004E5857" w:rsidTr="00AE0BAB">
        <w:tc>
          <w:tcPr>
            <w:tcW w:w="399" w:type="dxa"/>
            <w:shd w:val="clear" w:color="auto" w:fill="FFFFFF"/>
          </w:tcPr>
          <w:p w:rsidR="00304ED6" w:rsidRPr="004E5857" w:rsidRDefault="00304ED6" w:rsidP="00AE0BAB">
            <w:pPr>
              <w:pStyle w:val="NoSpacing"/>
              <w:rPr>
                <w:rFonts w:ascii="Arial" w:hAnsi="Arial" w:cs="Arial"/>
              </w:rPr>
            </w:pPr>
            <w:r w:rsidRPr="004E5857">
              <w:rPr>
                <w:rFonts w:ascii="Arial" w:hAnsi="Arial" w:cs="Arial"/>
              </w:rPr>
              <w:t>4</w:t>
            </w:r>
          </w:p>
        </w:tc>
        <w:tc>
          <w:tcPr>
            <w:tcW w:w="4819" w:type="dxa"/>
            <w:shd w:val="clear" w:color="auto" w:fill="FFFFFF"/>
          </w:tcPr>
          <w:p w:rsidR="00304ED6" w:rsidRPr="004E5857" w:rsidRDefault="00304ED6" w:rsidP="00AE0BAB">
            <w:pPr>
              <w:pStyle w:val="NoSpacing"/>
              <w:rPr>
                <w:rFonts w:ascii="Arial" w:hAnsi="Arial" w:cs="Arial"/>
              </w:rPr>
            </w:pPr>
            <w:r w:rsidRPr="004E5857">
              <w:rPr>
                <w:rFonts w:ascii="Arial" w:hAnsi="Arial" w:cs="Arial"/>
              </w:rPr>
              <w:t>Interest on Security Deposit</w:t>
            </w:r>
          </w:p>
        </w:tc>
        <w:tc>
          <w:tcPr>
            <w:tcW w:w="1843" w:type="dxa"/>
            <w:shd w:val="clear" w:color="auto" w:fill="FFFFFF"/>
          </w:tcPr>
          <w:p w:rsidR="00304ED6" w:rsidRPr="004E5857" w:rsidRDefault="00304ED6" w:rsidP="00AE0BAB">
            <w:pPr>
              <w:pStyle w:val="NoSpacing"/>
              <w:jc w:val="right"/>
              <w:rPr>
                <w:rFonts w:ascii="Arial" w:hAnsi="Arial" w:cs="Arial"/>
                <w:bCs/>
              </w:rPr>
            </w:pPr>
            <w:r w:rsidRPr="004E5857">
              <w:rPr>
                <w:rFonts w:ascii="Arial" w:hAnsi="Arial" w:cs="Arial"/>
                <w:bCs/>
              </w:rPr>
              <w:t>39.10</w:t>
            </w:r>
          </w:p>
        </w:tc>
      </w:tr>
      <w:tr w:rsidR="00304ED6" w:rsidRPr="004E5857" w:rsidTr="00AE0BAB">
        <w:tc>
          <w:tcPr>
            <w:tcW w:w="399" w:type="dxa"/>
            <w:shd w:val="clear" w:color="auto" w:fill="FFFFFF"/>
          </w:tcPr>
          <w:p w:rsidR="00304ED6" w:rsidRPr="004E5857" w:rsidRDefault="00304ED6" w:rsidP="00AE0BAB">
            <w:pPr>
              <w:pStyle w:val="NoSpacing"/>
              <w:rPr>
                <w:rFonts w:ascii="Arial" w:hAnsi="Arial" w:cs="Arial"/>
              </w:rPr>
            </w:pPr>
            <w:r w:rsidRPr="004E5857">
              <w:rPr>
                <w:rFonts w:ascii="Arial" w:hAnsi="Arial" w:cs="Arial"/>
              </w:rPr>
              <w:t>5</w:t>
            </w:r>
          </w:p>
        </w:tc>
        <w:tc>
          <w:tcPr>
            <w:tcW w:w="4819" w:type="dxa"/>
            <w:shd w:val="clear" w:color="auto" w:fill="FFFFFF"/>
          </w:tcPr>
          <w:p w:rsidR="00304ED6" w:rsidRPr="004E5857" w:rsidRDefault="00304ED6" w:rsidP="00AE0BAB">
            <w:pPr>
              <w:pStyle w:val="NoSpacing"/>
              <w:rPr>
                <w:rFonts w:ascii="Arial" w:hAnsi="Arial" w:cs="Arial"/>
              </w:rPr>
            </w:pPr>
            <w:r w:rsidRPr="004E5857">
              <w:rPr>
                <w:rFonts w:ascii="Arial" w:hAnsi="Arial" w:cs="Arial"/>
              </w:rPr>
              <w:t>Govt. of Odisha Capex Loan</w:t>
            </w:r>
          </w:p>
        </w:tc>
        <w:tc>
          <w:tcPr>
            <w:tcW w:w="1843" w:type="dxa"/>
            <w:shd w:val="clear" w:color="auto" w:fill="FFFFFF"/>
          </w:tcPr>
          <w:p w:rsidR="00304ED6" w:rsidRPr="004E5857" w:rsidRDefault="00304ED6" w:rsidP="00AE0BAB">
            <w:pPr>
              <w:pStyle w:val="NoSpacing"/>
              <w:jc w:val="right"/>
              <w:rPr>
                <w:rFonts w:ascii="Arial" w:hAnsi="Arial" w:cs="Arial"/>
                <w:bCs/>
              </w:rPr>
            </w:pPr>
            <w:r w:rsidRPr="004E5857">
              <w:rPr>
                <w:rFonts w:ascii="Arial" w:hAnsi="Arial" w:cs="Arial"/>
                <w:bCs/>
              </w:rPr>
              <w:t>8.73</w:t>
            </w:r>
          </w:p>
        </w:tc>
      </w:tr>
      <w:tr w:rsidR="00304ED6" w:rsidRPr="004E5857" w:rsidTr="00AE0BAB">
        <w:tc>
          <w:tcPr>
            <w:tcW w:w="399" w:type="dxa"/>
            <w:shd w:val="clear" w:color="auto" w:fill="FFFFFF"/>
          </w:tcPr>
          <w:p w:rsidR="00304ED6" w:rsidRPr="004E5857" w:rsidRDefault="00304ED6" w:rsidP="00AE0BAB">
            <w:pPr>
              <w:pStyle w:val="NoSpacing"/>
              <w:rPr>
                <w:rFonts w:ascii="Arial" w:hAnsi="Arial" w:cs="Arial"/>
              </w:rPr>
            </w:pPr>
            <w:r w:rsidRPr="004E5857">
              <w:rPr>
                <w:rFonts w:ascii="Arial" w:hAnsi="Arial" w:cs="Arial"/>
              </w:rPr>
              <w:t>6</w:t>
            </w:r>
          </w:p>
        </w:tc>
        <w:tc>
          <w:tcPr>
            <w:tcW w:w="4819" w:type="dxa"/>
            <w:shd w:val="clear" w:color="auto" w:fill="FFFFFF"/>
          </w:tcPr>
          <w:p w:rsidR="00304ED6" w:rsidRPr="004E5857" w:rsidRDefault="00304ED6" w:rsidP="00AE0BAB">
            <w:pPr>
              <w:pStyle w:val="NoSpacing"/>
              <w:rPr>
                <w:rFonts w:ascii="Arial" w:hAnsi="Arial" w:cs="Arial"/>
              </w:rPr>
            </w:pPr>
            <w:r w:rsidRPr="004E5857">
              <w:rPr>
                <w:rFonts w:ascii="Arial" w:hAnsi="Arial" w:cs="Arial"/>
              </w:rPr>
              <w:t>Other Short term loan &amp; Finance charge</w:t>
            </w:r>
          </w:p>
        </w:tc>
        <w:tc>
          <w:tcPr>
            <w:tcW w:w="1843" w:type="dxa"/>
            <w:shd w:val="clear" w:color="auto" w:fill="FFFFFF"/>
          </w:tcPr>
          <w:p w:rsidR="00304ED6" w:rsidRPr="004E5857" w:rsidRDefault="00304ED6" w:rsidP="00AE0BAB">
            <w:pPr>
              <w:pStyle w:val="NoSpacing"/>
              <w:jc w:val="right"/>
              <w:rPr>
                <w:rFonts w:ascii="Arial" w:hAnsi="Arial" w:cs="Arial"/>
                <w:bCs/>
              </w:rPr>
            </w:pPr>
            <w:r w:rsidRPr="004E5857">
              <w:rPr>
                <w:rFonts w:ascii="Arial" w:hAnsi="Arial" w:cs="Arial"/>
                <w:bCs/>
              </w:rPr>
              <w:t>37.25</w:t>
            </w:r>
          </w:p>
        </w:tc>
      </w:tr>
      <w:tr w:rsidR="00304ED6" w:rsidRPr="004E5857" w:rsidTr="00AE0BAB">
        <w:tc>
          <w:tcPr>
            <w:tcW w:w="399" w:type="dxa"/>
            <w:shd w:val="clear" w:color="auto" w:fill="FFFFFF"/>
          </w:tcPr>
          <w:p w:rsidR="00304ED6" w:rsidRPr="004E5857" w:rsidRDefault="00304ED6" w:rsidP="00AE0BAB">
            <w:pPr>
              <w:pStyle w:val="NoSpacing"/>
              <w:rPr>
                <w:rFonts w:ascii="Arial" w:hAnsi="Arial" w:cs="Arial"/>
              </w:rPr>
            </w:pPr>
            <w:r w:rsidRPr="004E5857">
              <w:rPr>
                <w:rFonts w:ascii="Arial" w:hAnsi="Arial" w:cs="Arial"/>
              </w:rPr>
              <w:t>7</w:t>
            </w:r>
          </w:p>
        </w:tc>
        <w:tc>
          <w:tcPr>
            <w:tcW w:w="4819" w:type="dxa"/>
            <w:shd w:val="clear" w:color="auto" w:fill="FFFFFF"/>
          </w:tcPr>
          <w:p w:rsidR="00304ED6" w:rsidRPr="004E5857" w:rsidRDefault="00304ED6" w:rsidP="00AE0BAB">
            <w:pPr>
              <w:pStyle w:val="NoSpacing"/>
              <w:rPr>
                <w:rFonts w:ascii="Arial" w:hAnsi="Arial" w:cs="Arial"/>
                <w:b/>
              </w:rPr>
            </w:pPr>
            <w:r w:rsidRPr="004E5857">
              <w:rPr>
                <w:rFonts w:ascii="Arial" w:hAnsi="Arial" w:cs="Arial"/>
                <w:b/>
              </w:rPr>
              <w:t>Total Interest</w:t>
            </w:r>
          </w:p>
        </w:tc>
        <w:tc>
          <w:tcPr>
            <w:tcW w:w="1843" w:type="dxa"/>
            <w:shd w:val="clear" w:color="auto" w:fill="FFFFFF"/>
          </w:tcPr>
          <w:p w:rsidR="00304ED6" w:rsidRPr="004E5857" w:rsidRDefault="00304ED6" w:rsidP="00AE0BAB">
            <w:pPr>
              <w:pStyle w:val="NoSpacing"/>
              <w:jc w:val="right"/>
              <w:rPr>
                <w:rFonts w:ascii="Arial" w:hAnsi="Arial" w:cs="Arial"/>
                <w:b/>
                <w:bCs/>
                <w:highlight w:val="yellow"/>
              </w:rPr>
            </w:pPr>
            <w:r w:rsidRPr="004E5857">
              <w:rPr>
                <w:rFonts w:ascii="Arial" w:hAnsi="Arial" w:cs="Arial"/>
                <w:b/>
                <w:bCs/>
              </w:rPr>
              <w:t>100.65</w:t>
            </w:r>
          </w:p>
        </w:tc>
      </w:tr>
      <w:tr w:rsidR="00304ED6" w:rsidRPr="004E5857" w:rsidTr="00AE0BAB">
        <w:tc>
          <w:tcPr>
            <w:tcW w:w="399" w:type="dxa"/>
            <w:shd w:val="clear" w:color="auto" w:fill="FFFFFF"/>
          </w:tcPr>
          <w:p w:rsidR="00304ED6" w:rsidRPr="004E5857" w:rsidRDefault="00304ED6" w:rsidP="00AE0BAB">
            <w:pPr>
              <w:pStyle w:val="NoSpacing"/>
              <w:rPr>
                <w:rFonts w:ascii="Arial" w:hAnsi="Arial" w:cs="Arial"/>
                <w:b/>
                <w:bCs/>
              </w:rPr>
            </w:pPr>
            <w:r w:rsidRPr="004E5857">
              <w:rPr>
                <w:rFonts w:ascii="Arial" w:hAnsi="Arial" w:cs="Arial"/>
                <w:b/>
                <w:bCs/>
              </w:rPr>
              <w:t>8</w:t>
            </w:r>
          </w:p>
        </w:tc>
        <w:tc>
          <w:tcPr>
            <w:tcW w:w="4819" w:type="dxa"/>
            <w:shd w:val="clear" w:color="auto" w:fill="FFFFFF"/>
          </w:tcPr>
          <w:p w:rsidR="00304ED6" w:rsidRPr="004E5857" w:rsidRDefault="00304ED6" w:rsidP="00AE0BAB">
            <w:pPr>
              <w:pStyle w:val="NoSpacing"/>
              <w:rPr>
                <w:rFonts w:ascii="Arial" w:hAnsi="Arial" w:cs="Arial"/>
              </w:rPr>
            </w:pPr>
            <w:r w:rsidRPr="004E5857">
              <w:rPr>
                <w:rFonts w:ascii="Arial" w:hAnsi="Arial" w:cs="Arial"/>
              </w:rPr>
              <w:t>Less Interest Capitalised</w:t>
            </w:r>
          </w:p>
        </w:tc>
        <w:tc>
          <w:tcPr>
            <w:tcW w:w="1843" w:type="dxa"/>
            <w:shd w:val="clear" w:color="auto" w:fill="FFFFFF"/>
          </w:tcPr>
          <w:p w:rsidR="00304ED6" w:rsidRPr="004E5857" w:rsidRDefault="00304ED6" w:rsidP="00AE0BAB">
            <w:pPr>
              <w:pStyle w:val="NoSpacing"/>
              <w:jc w:val="right"/>
              <w:rPr>
                <w:rFonts w:ascii="Arial" w:hAnsi="Arial" w:cs="Arial"/>
                <w:bCs/>
                <w:highlight w:val="yellow"/>
              </w:rPr>
            </w:pPr>
            <w:r w:rsidRPr="004E5857">
              <w:rPr>
                <w:rFonts w:ascii="Arial" w:hAnsi="Arial" w:cs="Arial"/>
                <w:bCs/>
              </w:rPr>
              <w:t>6.58</w:t>
            </w:r>
          </w:p>
        </w:tc>
      </w:tr>
      <w:tr w:rsidR="00304ED6" w:rsidRPr="004E5857" w:rsidTr="00AE0BAB">
        <w:tc>
          <w:tcPr>
            <w:tcW w:w="399" w:type="dxa"/>
            <w:shd w:val="clear" w:color="auto" w:fill="FFFFFF"/>
          </w:tcPr>
          <w:p w:rsidR="00304ED6" w:rsidRPr="004E5857" w:rsidRDefault="00304ED6" w:rsidP="00AE0BAB">
            <w:pPr>
              <w:pStyle w:val="NoSpacing"/>
              <w:rPr>
                <w:rFonts w:ascii="Arial" w:hAnsi="Arial" w:cs="Arial"/>
              </w:rPr>
            </w:pPr>
            <w:r w:rsidRPr="004E5857">
              <w:rPr>
                <w:rFonts w:ascii="Arial" w:hAnsi="Arial" w:cs="Arial"/>
              </w:rPr>
              <w:t>9</w:t>
            </w:r>
          </w:p>
        </w:tc>
        <w:tc>
          <w:tcPr>
            <w:tcW w:w="4819" w:type="dxa"/>
            <w:shd w:val="clear" w:color="auto" w:fill="FFFFFF"/>
          </w:tcPr>
          <w:p w:rsidR="00304ED6" w:rsidRPr="004E5857" w:rsidRDefault="00304ED6" w:rsidP="00AE0BAB">
            <w:pPr>
              <w:pStyle w:val="NoSpacing"/>
              <w:rPr>
                <w:rFonts w:ascii="Arial" w:hAnsi="Arial" w:cs="Arial"/>
                <w:b/>
                <w:bCs/>
              </w:rPr>
            </w:pPr>
            <w:r w:rsidRPr="004E5857">
              <w:rPr>
                <w:rFonts w:ascii="Arial" w:hAnsi="Arial" w:cs="Arial"/>
                <w:b/>
                <w:bCs/>
              </w:rPr>
              <w:t>Net Interest for ARR</w:t>
            </w:r>
          </w:p>
        </w:tc>
        <w:tc>
          <w:tcPr>
            <w:tcW w:w="1843" w:type="dxa"/>
            <w:shd w:val="clear" w:color="auto" w:fill="FFFFFF"/>
          </w:tcPr>
          <w:p w:rsidR="00304ED6" w:rsidRPr="004E5857" w:rsidRDefault="00304ED6" w:rsidP="00AE0BAB">
            <w:pPr>
              <w:pStyle w:val="NoSpacing"/>
              <w:jc w:val="right"/>
              <w:rPr>
                <w:rFonts w:ascii="Arial" w:hAnsi="Arial" w:cs="Arial"/>
                <w:b/>
                <w:bCs/>
                <w:highlight w:val="yellow"/>
              </w:rPr>
            </w:pPr>
            <w:r w:rsidRPr="004E5857">
              <w:rPr>
                <w:rFonts w:ascii="Arial" w:hAnsi="Arial" w:cs="Arial"/>
                <w:b/>
                <w:bCs/>
              </w:rPr>
              <w:t>94.07</w:t>
            </w:r>
          </w:p>
        </w:tc>
      </w:tr>
    </w:tbl>
    <w:p w:rsidR="00304ED6" w:rsidRPr="00BF0E9D" w:rsidRDefault="00304ED6" w:rsidP="00304ED6">
      <w:pPr>
        <w:pStyle w:val="BodyText2"/>
        <w:spacing w:line="360" w:lineRule="auto"/>
        <w:ind w:left="360"/>
        <w:jc w:val="both"/>
        <w:rPr>
          <w:rFonts w:ascii="Cambria" w:hAnsi="Cambria" w:cs="Arial"/>
          <w:sz w:val="24"/>
          <w:szCs w:val="24"/>
        </w:rPr>
      </w:pPr>
      <w:r w:rsidRPr="004E5857">
        <w:rPr>
          <w:rFonts w:cs="Arial"/>
          <w:sz w:val="22"/>
          <w:szCs w:val="22"/>
        </w:rPr>
        <w:t xml:space="preserve"> The total interest chargeable to revenue proposed by the licensee for the year FY 2015-16 is Rs 94.07 crores.</w:t>
      </w:r>
    </w:p>
    <w:p w:rsidR="003012C6" w:rsidRPr="00BB1D13" w:rsidRDefault="003012C6" w:rsidP="003012C6">
      <w:pPr>
        <w:pStyle w:val="Heading1"/>
        <w:numPr>
          <w:ilvl w:val="0"/>
          <w:numId w:val="1"/>
        </w:numPr>
        <w:spacing w:line="360" w:lineRule="auto"/>
        <w:jc w:val="both"/>
        <w:rPr>
          <w:sz w:val="22"/>
          <w:szCs w:val="22"/>
        </w:rPr>
      </w:pPr>
      <w:bookmarkStart w:id="31" w:name="_Toc404940155"/>
      <w:bookmarkEnd w:id="29"/>
      <w:r w:rsidRPr="00BB1D13">
        <w:rPr>
          <w:sz w:val="22"/>
          <w:szCs w:val="22"/>
        </w:rPr>
        <w:t>Capital Expenditure Programs</w:t>
      </w:r>
      <w:bookmarkEnd w:id="31"/>
    </w:p>
    <w:p w:rsidR="00176FAD" w:rsidRPr="00BB1D13" w:rsidRDefault="00176FAD" w:rsidP="00176FAD">
      <w:pPr>
        <w:ind w:left="360"/>
        <w:rPr>
          <w:rFonts w:ascii="Arial" w:hAnsi="Arial" w:cs="Arial"/>
          <w:sz w:val="22"/>
          <w:szCs w:val="22"/>
        </w:rPr>
      </w:pPr>
      <w:r w:rsidRPr="00BB1D13">
        <w:rPr>
          <w:rFonts w:ascii="Arial" w:hAnsi="Arial" w:cs="Arial"/>
          <w:sz w:val="22"/>
          <w:szCs w:val="22"/>
        </w:rPr>
        <w:t>The Licensee will undertake the following Capital Expenditure Schemes during the ensuing year 2015-16;</w:t>
      </w:r>
    </w:p>
    <w:p w:rsidR="00176FAD" w:rsidRPr="00BB1D13" w:rsidRDefault="00176FAD" w:rsidP="00176FAD">
      <w:pPr>
        <w:pStyle w:val="ListParagraph"/>
        <w:spacing w:line="360" w:lineRule="auto"/>
        <w:ind w:left="0"/>
        <w:jc w:val="both"/>
        <w:rPr>
          <w:rFonts w:ascii="Arial" w:hAnsi="Arial" w:cs="Arial"/>
          <w:color w:val="232323"/>
        </w:rPr>
      </w:pPr>
    </w:p>
    <w:p w:rsidR="003012C6" w:rsidRPr="00BB1D13" w:rsidRDefault="003012C6" w:rsidP="00CF66A5">
      <w:pPr>
        <w:pStyle w:val="ListParagraph"/>
        <w:numPr>
          <w:ilvl w:val="0"/>
          <w:numId w:val="33"/>
        </w:numPr>
        <w:spacing w:line="360" w:lineRule="auto"/>
        <w:jc w:val="both"/>
        <w:rPr>
          <w:rFonts w:ascii="Arial" w:hAnsi="Arial" w:cs="Arial"/>
          <w:color w:val="232323"/>
        </w:rPr>
      </w:pPr>
      <w:r w:rsidRPr="00BB1D13">
        <w:rPr>
          <w:rFonts w:ascii="Arial" w:hAnsi="Arial" w:cs="Arial"/>
          <w:color w:val="232323"/>
        </w:rPr>
        <w:t>Biju Gramjyoti Yojana (BGJY)</w:t>
      </w:r>
    </w:p>
    <w:p w:rsidR="003012C6" w:rsidRPr="00BB1D13" w:rsidRDefault="003012C6" w:rsidP="00CF66A5">
      <w:pPr>
        <w:pStyle w:val="ListParagraph"/>
        <w:numPr>
          <w:ilvl w:val="0"/>
          <w:numId w:val="33"/>
        </w:numPr>
        <w:spacing w:line="360" w:lineRule="auto"/>
        <w:jc w:val="both"/>
        <w:rPr>
          <w:rFonts w:ascii="Arial" w:hAnsi="Arial" w:cs="Arial"/>
          <w:color w:val="232323"/>
        </w:rPr>
      </w:pPr>
      <w:r w:rsidRPr="00BB1D13">
        <w:rPr>
          <w:rFonts w:ascii="Arial" w:hAnsi="Arial" w:cs="Arial"/>
          <w:color w:val="232323"/>
        </w:rPr>
        <w:t>Biju Saharanchal Vidyuitikaran Yojana (BSVY)</w:t>
      </w:r>
    </w:p>
    <w:p w:rsidR="003012C6" w:rsidRPr="00BB1D13" w:rsidRDefault="003012C6" w:rsidP="00CF66A5">
      <w:pPr>
        <w:pStyle w:val="ListParagraph"/>
        <w:numPr>
          <w:ilvl w:val="0"/>
          <w:numId w:val="33"/>
        </w:numPr>
        <w:spacing w:line="360" w:lineRule="auto"/>
        <w:jc w:val="both"/>
        <w:rPr>
          <w:rFonts w:ascii="Arial" w:hAnsi="Arial" w:cs="Arial"/>
          <w:color w:val="232323"/>
        </w:rPr>
      </w:pPr>
      <w:r w:rsidRPr="00BB1D13">
        <w:rPr>
          <w:rFonts w:ascii="Arial" w:hAnsi="Arial" w:cs="Arial"/>
          <w:color w:val="232323"/>
        </w:rPr>
        <w:t>Development Programme of Energy System Improvement (DESI)</w:t>
      </w:r>
    </w:p>
    <w:p w:rsidR="003012C6" w:rsidRPr="00BB1D13" w:rsidRDefault="003012C6" w:rsidP="00CF66A5">
      <w:pPr>
        <w:pStyle w:val="ListParagraph"/>
        <w:numPr>
          <w:ilvl w:val="0"/>
          <w:numId w:val="33"/>
        </w:numPr>
        <w:spacing w:line="360" w:lineRule="auto"/>
        <w:jc w:val="both"/>
        <w:rPr>
          <w:rFonts w:ascii="Arial" w:hAnsi="Arial" w:cs="Arial"/>
          <w:color w:val="232323"/>
        </w:rPr>
      </w:pPr>
      <w:r w:rsidRPr="00BB1D13">
        <w:rPr>
          <w:rFonts w:ascii="Arial" w:hAnsi="Arial" w:cs="Arial"/>
          <w:color w:val="232323"/>
        </w:rPr>
        <w:t>CAPEX Programme</w:t>
      </w:r>
    </w:p>
    <w:p w:rsidR="003012C6" w:rsidRPr="00BB1D13" w:rsidRDefault="003012C6" w:rsidP="00CF66A5">
      <w:pPr>
        <w:pStyle w:val="ListParagraph"/>
        <w:numPr>
          <w:ilvl w:val="0"/>
          <w:numId w:val="33"/>
        </w:numPr>
        <w:spacing w:line="360" w:lineRule="auto"/>
        <w:jc w:val="both"/>
        <w:rPr>
          <w:rFonts w:ascii="Arial" w:hAnsi="Arial" w:cs="Arial"/>
          <w:color w:val="232323"/>
        </w:rPr>
      </w:pPr>
      <w:r w:rsidRPr="00BB1D13">
        <w:rPr>
          <w:rFonts w:ascii="Arial" w:hAnsi="Arial" w:cs="Arial"/>
          <w:color w:val="232323"/>
        </w:rPr>
        <w:t>Dedicated Power Supply to Dist HQ Hospitals &amp; Med. Colleges</w:t>
      </w:r>
    </w:p>
    <w:p w:rsidR="003012C6" w:rsidRPr="00BB1D13" w:rsidRDefault="003012C6" w:rsidP="00CF66A5">
      <w:pPr>
        <w:pStyle w:val="ListParagraph"/>
        <w:numPr>
          <w:ilvl w:val="0"/>
          <w:numId w:val="33"/>
        </w:numPr>
        <w:spacing w:line="360" w:lineRule="auto"/>
        <w:jc w:val="both"/>
        <w:rPr>
          <w:rFonts w:ascii="Arial" w:hAnsi="Arial" w:cs="Arial"/>
          <w:color w:val="232323"/>
        </w:rPr>
      </w:pPr>
      <w:r w:rsidRPr="00BB1D13">
        <w:rPr>
          <w:rFonts w:ascii="Arial" w:hAnsi="Arial" w:cs="Arial"/>
          <w:color w:val="232323"/>
        </w:rPr>
        <w:t>Shifting of lines &amp; Substations from the premises of Schools &amp; Anganwadi Centers (AWCs)</w:t>
      </w:r>
    </w:p>
    <w:p w:rsidR="003012C6" w:rsidRPr="00BB1D13" w:rsidRDefault="003012C6" w:rsidP="00CF66A5">
      <w:pPr>
        <w:pStyle w:val="ListParagraph"/>
        <w:numPr>
          <w:ilvl w:val="0"/>
          <w:numId w:val="33"/>
        </w:numPr>
        <w:spacing w:line="360" w:lineRule="auto"/>
        <w:jc w:val="both"/>
        <w:rPr>
          <w:rFonts w:ascii="Arial" w:hAnsi="Arial" w:cs="Arial"/>
          <w:color w:val="232323"/>
        </w:rPr>
      </w:pPr>
      <w:r w:rsidRPr="00BB1D13">
        <w:rPr>
          <w:rFonts w:ascii="Arial" w:hAnsi="Arial" w:cs="Arial"/>
          <w:color w:val="232323"/>
        </w:rPr>
        <w:t>Strengthening of Infrastructure in Elephant Corridor</w:t>
      </w:r>
    </w:p>
    <w:p w:rsidR="003012C6" w:rsidRPr="00BB1D13" w:rsidRDefault="003012C6" w:rsidP="00CF66A5">
      <w:pPr>
        <w:pStyle w:val="ListParagraph"/>
        <w:numPr>
          <w:ilvl w:val="0"/>
          <w:numId w:val="33"/>
        </w:numPr>
        <w:spacing w:line="360" w:lineRule="auto"/>
        <w:jc w:val="both"/>
        <w:rPr>
          <w:rFonts w:ascii="Arial" w:hAnsi="Arial" w:cs="Arial"/>
          <w:color w:val="232323"/>
        </w:rPr>
      </w:pPr>
      <w:r w:rsidRPr="00BB1D13">
        <w:rPr>
          <w:rFonts w:ascii="Arial" w:hAnsi="Arial" w:cs="Arial"/>
          <w:color w:val="232323"/>
        </w:rPr>
        <w:t>Odisha Distribution Sector Strengthening Project (ODSSP)</w:t>
      </w:r>
    </w:p>
    <w:p w:rsidR="003012C6" w:rsidRPr="00BB1D13" w:rsidRDefault="003012C6" w:rsidP="00CF66A5">
      <w:pPr>
        <w:pStyle w:val="ListParagraph"/>
        <w:numPr>
          <w:ilvl w:val="0"/>
          <w:numId w:val="33"/>
        </w:numPr>
        <w:spacing w:line="360" w:lineRule="auto"/>
        <w:jc w:val="both"/>
        <w:rPr>
          <w:rFonts w:ascii="Arial" w:hAnsi="Arial" w:cs="Arial"/>
          <w:color w:val="232323"/>
        </w:rPr>
      </w:pPr>
      <w:r w:rsidRPr="00BB1D13">
        <w:rPr>
          <w:rFonts w:ascii="Arial" w:hAnsi="Arial" w:cs="Arial"/>
          <w:color w:val="232323"/>
        </w:rPr>
        <w:t>Odisha Dedicated Agriculture and Fishery Feeder (ODAFF)</w:t>
      </w:r>
    </w:p>
    <w:p w:rsidR="003012C6" w:rsidRPr="00BB1D13" w:rsidRDefault="003012C6" w:rsidP="00CF66A5">
      <w:pPr>
        <w:pStyle w:val="ListParagraph"/>
        <w:numPr>
          <w:ilvl w:val="0"/>
          <w:numId w:val="33"/>
        </w:numPr>
        <w:spacing w:line="360" w:lineRule="auto"/>
        <w:jc w:val="both"/>
        <w:rPr>
          <w:rFonts w:ascii="Arial" w:hAnsi="Arial" w:cs="Arial"/>
          <w:color w:val="232323"/>
        </w:rPr>
      </w:pPr>
      <w:r w:rsidRPr="00BB1D13">
        <w:rPr>
          <w:rFonts w:ascii="Arial" w:hAnsi="Arial" w:cs="Arial"/>
          <w:color w:val="232323"/>
        </w:rPr>
        <w:t>Under Ground Cabling (Nabakalebar Puri, Samaleswari Temple, Sambalpur &amp; Rathgada, Baripada)</w:t>
      </w:r>
    </w:p>
    <w:p w:rsidR="003012C6" w:rsidRPr="00BB1D13" w:rsidRDefault="003012C6" w:rsidP="003012C6">
      <w:pPr>
        <w:pStyle w:val="ListParagraph"/>
        <w:ind w:left="990"/>
        <w:jc w:val="both"/>
        <w:rPr>
          <w:rFonts w:ascii="Arial" w:hAnsi="Arial" w:cs="Arial"/>
          <w:color w:val="232323"/>
        </w:rPr>
      </w:pPr>
    </w:p>
    <w:p w:rsidR="003012C6" w:rsidRPr="00BB1D13" w:rsidRDefault="003012C6" w:rsidP="003012C6">
      <w:pPr>
        <w:pStyle w:val="Heading1"/>
        <w:numPr>
          <w:ilvl w:val="1"/>
          <w:numId w:val="1"/>
        </w:numPr>
        <w:spacing w:line="360" w:lineRule="auto"/>
        <w:jc w:val="both"/>
        <w:rPr>
          <w:sz w:val="22"/>
          <w:szCs w:val="22"/>
        </w:rPr>
      </w:pPr>
      <w:bookmarkStart w:id="32" w:name="_Toc404940156"/>
      <w:r w:rsidRPr="00BB1D13">
        <w:rPr>
          <w:sz w:val="22"/>
          <w:szCs w:val="22"/>
        </w:rPr>
        <w:lastRenderedPageBreak/>
        <w:t>Biju Gramjyoti Yojana (BGJY)</w:t>
      </w:r>
      <w:bookmarkEnd w:id="32"/>
    </w:p>
    <w:p w:rsidR="003012C6" w:rsidRPr="00BB1D13" w:rsidRDefault="003012C6" w:rsidP="003012C6">
      <w:pPr>
        <w:pStyle w:val="ListParagraph"/>
        <w:spacing w:line="360" w:lineRule="auto"/>
        <w:ind w:left="0"/>
        <w:jc w:val="both"/>
        <w:rPr>
          <w:rFonts w:ascii="Arial" w:hAnsi="Arial" w:cs="Arial"/>
          <w:color w:val="232323"/>
        </w:rPr>
      </w:pPr>
      <w:r w:rsidRPr="00BB1D13">
        <w:rPr>
          <w:rFonts w:ascii="Arial" w:hAnsi="Arial" w:cs="Arial"/>
          <w:color w:val="232323"/>
        </w:rPr>
        <w:t>In order to ensure “Electricity to all”, the State Govt. have launched a scheme in the year 2007-08 namely, “Biju Gram Jyoti Yojna” to electrify villages/habitation having less than 100 population which are not covered under RGGVY. The scope of work includes installation of DTRs of maximum capacity 63KVA, 11KV linking line and AB Cable for all LT lines. The cost of electrification of an un-electrified village/ Habitations is estimated at Rs.4.5 lakh in plain areas and Rs.6 lakh in hilly areas. The cost of providing connection to a BPL house HH is estimated at Rs.2000/-. The budget provision for FY 2014-15 is Rs.75 Crs. The scheme is being implemented by District Administration presently and Govt. is in the process to implement it through Discoms.</w:t>
      </w:r>
    </w:p>
    <w:p w:rsidR="003012C6" w:rsidRPr="00BB1D13" w:rsidRDefault="003012C6" w:rsidP="003012C6">
      <w:pPr>
        <w:pStyle w:val="ListParagraph"/>
        <w:ind w:left="0"/>
        <w:jc w:val="both"/>
        <w:rPr>
          <w:rFonts w:ascii="Arial" w:hAnsi="Arial" w:cs="Arial"/>
          <w:color w:val="232323"/>
        </w:rPr>
      </w:pPr>
    </w:p>
    <w:p w:rsidR="003012C6" w:rsidRPr="00BB1D13" w:rsidRDefault="003012C6" w:rsidP="003012C6">
      <w:pPr>
        <w:pStyle w:val="ListParagraph"/>
        <w:ind w:left="0"/>
        <w:jc w:val="both"/>
        <w:rPr>
          <w:rFonts w:ascii="Arial" w:hAnsi="Arial" w:cs="Arial"/>
          <w:color w:val="232323"/>
          <w:u w:val="single"/>
        </w:rPr>
      </w:pPr>
      <w:r w:rsidRPr="00BB1D13">
        <w:rPr>
          <w:rFonts w:ascii="Arial" w:hAnsi="Arial" w:cs="Arial"/>
          <w:color w:val="232323"/>
          <w:u w:val="single"/>
        </w:rPr>
        <w:t>Progress as on 31.10.2014</w:t>
      </w:r>
    </w:p>
    <w:p w:rsidR="003012C6" w:rsidRPr="00D13284" w:rsidRDefault="003012C6" w:rsidP="003012C6">
      <w:pPr>
        <w:ind w:left="5040" w:firstLine="720"/>
        <w:jc w:val="center"/>
        <w:rPr>
          <w:rFonts w:ascii="Calibri" w:hAnsi="Calibri" w:cs="Calibri"/>
          <w:i/>
          <w:color w:val="232323"/>
          <w:sz w:val="22"/>
          <w:szCs w:val="22"/>
        </w:rPr>
      </w:pPr>
      <w:r w:rsidRPr="00D13284">
        <w:rPr>
          <w:rFonts w:ascii="Calibri" w:hAnsi="Calibri" w:cs="Calibri"/>
          <w:i/>
          <w:color w:val="232323"/>
          <w:sz w:val="22"/>
          <w:szCs w:val="22"/>
        </w:rPr>
        <w:t>All figures in Cr.</w:t>
      </w:r>
    </w:p>
    <w:tbl>
      <w:tblPr>
        <w:tblW w:w="865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28"/>
        <w:gridCol w:w="1276"/>
        <w:gridCol w:w="1417"/>
        <w:gridCol w:w="1418"/>
        <w:gridCol w:w="1559"/>
        <w:gridCol w:w="1559"/>
      </w:tblGrid>
      <w:tr w:rsidR="003012C6" w:rsidRPr="00D13284" w:rsidTr="003012C6">
        <w:trPr>
          <w:trHeight w:val="891"/>
        </w:trPr>
        <w:tc>
          <w:tcPr>
            <w:tcW w:w="1428" w:type="dxa"/>
            <w:shd w:val="clear" w:color="000000" w:fill="FFFFCC"/>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Discom </w:t>
            </w:r>
          </w:p>
        </w:tc>
        <w:tc>
          <w:tcPr>
            <w:tcW w:w="1276" w:type="dxa"/>
            <w:shd w:val="clear" w:color="000000" w:fill="FFFFCC"/>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No. of Village/ Hamlet proposed </w:t>
            </w:r>
          </w:p>
        </w:tc>
        <w:tc>
          <w:tcPr>
            <w:tcW w:w="1417" w:type="dxa"/>
            <w:shd w:val="clear" w:color="000000" w:fill="FFFFCC"/>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No. of Village/ Hamlet Electrified</w:t>
            </w:r>
          </w:p>
        </w:tc>
        <w:tc>
          <w:tcPr>
            <w:tcW w:w="1418" w:type="dxa"/>
            <w:shd w:val="clear" w:color="000000" w:fill="FFFFCC"/>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No. of BPL Connections given</w:t>
            </w:r>
          </w:p>
        </w:tc>
        <w:tc>
          <w:tcPr>
            <w:tcW w:w="1559" w:type="dxa"/>
            <w:shd w:val="clear" w:color="000000" w:fill="FFFFCC"/>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Fund Allocated / Receipt</w:t>
            </w:r>
          </w:p>
        </w:tc>
        <w:tc>
          <w:tcPr>
            <w:tcW w:w="1559" w:type="dxa"/>
            <w:shd w:val="clear" w:color="000000" w:fill="FFFFCC"/>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Expenditure Made</w:t>
            </w:r>
          </w:p>
        </w:tc>
      </w:tr>
      <w:tr w:rsidR="003012C6" w:rsidRPr="00D13284" w:rsidTr="003012C6">
        <w:trPr>
          <w:trHeight w:val="375"/>
        </w:trPr>
        <w:tc>
          <w:tcPr>
            <w:tcW w:w="1428" w:type="dxa"/>
            <w:shd w:val="clear" w:color="000000" w:fill="FFFFFF"/>
            <w:vAlign w:val="center"/>
            <w:hideMark/>
          </w:tcPr>
          <w:p w:rsidR="003012C6" w:rsidRPr="00D13284" w:rsidRDefault="003012C6" w:rsidP="003012C6">
            <w:pP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SOUTHCO </w:t>
            </w:r>
          </w:p>
        </w:tc>
        <w:tc>
          <w:tcPr>
            <w:tcW w:w="1276"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4348</w:t>
            </w:r>
          </w:p>
        </w:tc>
        <w:tc>
          <w:tcPr>
            <w:tcW w:w="1417"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2808</w:t>
            </w:r>
          </w:p>
        </w:tc>
        <w:tc>
          <w:tcPr>
            <w:tcW w:w="1418"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43795</w:t>
            </w:r>
          </w:p>
        </w:tc>
        <w:tc>
          <w:tcPr>
            <w:tcW w:w="1559"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138.56</w:t>
            </w:r>
          </w:p>
        </w:tc>
        <w:tc>
          <w:tcPr>
            <w:tcW w:w="1559"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100.51</w:t>
            </w:r>
          </w:p>
        </w:tc>
      </w:tr>
      <w:tr w:rsidR="003012C6" w:rsidRPr="00D13284" w:rsidTr="003012C6">
        <w:trPr>
          <w:trHeight w:val="375"/>
        </w:trPr>
        <w:tc>
          <w:tcPr>
            <w:tcW w:w="1428" w:type="dxa"/>
            <w:shd w:val="clear" w:color="000000" w:fill="C0C0C0"/>
            <w:vAlign w:val="center"/>
            <w:hideMark/>
          </w:tcPr>
          <w:p w:rsidR="003012C6" w:rsidRPr="00D13284" w:rsidRDefault="003012C6" w:rsidP="003012C6">
            <w:pP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WESCO </w:t>
            </w:r>
          </w:p>
        </w:tc>
        <w:tc>
          <w:tcPr>
            <w:tcW w:w="1276" w:type="dxa"/>
            <w:shd w:val="clear" w:color="000000" w:fill="C0C0C0"/>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4357</w:t>
            </w:r>
          </w:p>
        </w:tc>
        <w:tc>
          <w:tcPr>
            <w:tcW w:w="1417" w:type="dxa"/>
            <w:shd w:val="clear" w:color="000000" w:fill="C0C0C0"/>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3142</w:t>
            </w:r>
          </w:p>
        </w:tc>
        <w:tc>
          <w:tcPr>
            <w:tcW w:w="1418" w:type="dxa"/>
            <w:shd w:val="clear" w:color="000000" w:fill="C0C0C0"/>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30159</w:t>
            </w:r>
          </w:p>
        </w:tc>
        <w:tc>
          <w:tcPr>
            <w:tcW w:w="1559" w:type="dxa"/>
            <w:shd w:val="clear" w:color="000000" w:fill="C0C0C0"/>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151.57</w:t>
            </w:r>
          </w:p>
        </w:tc>
        <w:tc>
          <w:tcPr>
            <w:tcW w:w="1559" w:type="dxa"/>
            <w:shd w:val="clear" w:color="000000" w:fill="C0C0C0"/>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94.99</w:t>
            </w:r>
          </w:p>
        </w:tc>
      </w:tr>
      <w:tr w:rsidR="003012C6" w:rsidRPr="00D13284" w:rsidTr="003012C6">
        <w:trPr>
          <w:trHeight w:val="375"/>
        </w:trPr>
        <w:tc>
          <w:tcPr>
            <w:tcW w:w="1428" w:type="dxa"/>
            <w:shd w:val="clear" w:color="000000" w:fill="FFFFFF"/>
            <w:vAlign w:val="center"/>
            <w:hideMark/>
          </w:tcPr>
          <w:p w:rsidR="003012C6" w:rsidRPr="00D13284" w:rsidRDefault="003012C6" w:rsidP="003012C6">
            <w:pP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NESCO </w:t>
            </w:r>
          </w:p>
        </w:tc>
        <w:tc>
          <w:tcPr>
            <w:tcW w:w="1276"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3464</w:t>
            </w:r>
          </w:p>
        </w:tc>
        <w:tc>
          <w:tcPr>
            <w:tcW w:w="1417"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3020</w:t>
            </w:r>
          </w:p>
        </w:tc>
        <w:tc>
          <w:tcPr>
            <w:tcW w:w="1418"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45462</w:t>
            </w:r>
          </w:p>
        </w:tc>
        <w:tc>
          <w:tcPr>
            <w:tcW w:w="1559"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120.26</w:t>
            </w:r>
          </w:p>
        </w:tc>
        <w:tc>
          <w:tcPr>
            <w:tcW w:w="1559"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88.41</w:t>
            </w:r>
          </w:p>
        </w:tc>
      </w:tr>
      <w:tr w:rsidR="003012C6" w:rsidRPr="00D13284" w:rsidTr="003012C6">
        <w:trPr>
          <w:trHeight w:val="375"/>
        </w:trPr>
        <w:tc>
          <w:tcPr>
            <w:tcW w:w="1428" w:type="dxa"/>
            <w:shd w:val="clear" w:color="000000" w:fill="C0C0C0"/>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 xml:space="preserve">Total </w:t>
            </w:r>
          </w:p>
        </w:tc>
        <w:tc>
          <w:tcPr>
            <w:tcW w:w="1276" w:type="dxa"/>
            <w:shd w:val="clear" w:color="000000" w:fill="C0C0C0"/>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12169</w:t>
            </w:r>
          </w:p>
        </w:tc>
        <w:tc>
          <w:tcPr>
            <w:tcW w:w="1417" w:type="dxa"/>
            <w:shd w:val="clear" w:color="000000" w:fill="C0C0C0"/>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8970</w:t>
            </w:r>
          </w:p>
        </w:tc>
        <w:tc>
          <w:tcPr>
            <w:tcW w:w="1418" w:type="dxa"/>
            <w:shd w:val="clear" w:color="000000" w:fill="C0C0C0"/>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119416</w:t>
            </w:r>
          </w:p>
        </w:tc>
        <w:tc>
          <w:tcPr>
            <w:tcW w:w="1559" w:type="dxa"/>
            <w:shd w:val="clear" w:color="000000" w:fill="C0C0C0"/>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410.39</w:t>
            </w:r>
          </w:p>
        </w:tc>
        <w:tc>
          <w:tcPr>
            <w:tcW w:w="1559" w:type="dxa"/>
            <w:shd w:val="clear" w:color="000000" w:fill="C0C0C0"/>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283.91</w:t>
            </w:r>
          </w:p>
        </w:tc>
      </w:tr>
    </w:tbl>
    <w:p w:rsidR="003012C6" w:rsidRPr="00D13284" w:rsidRDefault="003012C6" w:rsidP="003012C6">
      <w:pPr>
        <w:pStyle w:val="ListParagraph"/>
        <w:ind w:left="0"/>
        <w:jc w:val="both"/>
        <w:rPr>
          <w:rFonts w:cs="Calibri"/>
          <w:b/>
          <w:color w:val="232323"/>
        </w:rPr>
      </w:pPr>
    </w:p>
    <w:p w:rsidR="003012C6" w:rsidRPr="00BB1D13" w:rsidRDefault="003012C6" w:rsidP="003012C6">
      <w:pPr>
        <w:pStyle w:val="Heading1"/>
        <w:numPr>
          <w:ilvl w:val="1"/>
          <w:numId w:val="1"/>
        </w:numPr>
        <w:spacing w:line="360" w:lineRule="auto"/>
        <w:jc w:val="both"/>
        <w:rPr>
          <w:sz w:val="22"/>
          <w:szCs w:val="22"/>
        </w:rPr>
      </w:pPr>
      <w:bookmarkStart w:id="33" w:name="_Toc404940157"/>
      <w:r w:rsidRPr="00BB1D13">
        <w:rPr>
          <w:sz w:val="22"/>
          <w:szCs w:val="22"/>
        </w:rPr>
        <w:t>Biju Saharanchal Vidyuitikaran Yojana (BSVY)</w:t>
      </w:r>
      <w:bookmarkEnd w:id="33"/>
    </w:p>
    <w:p w:rsidR="003012C6" w:rsidRPr="00BB1D13" w:rsidRDefault="003012C6" w:rsidP="003012C6">
      <w:pPr>
        <w:pStyle w:val="ListParagraph"/>
        <w:spacing w:line="360" w:lineRule="auto"/>
        <w:ind w:left="0"/>
        <w:jc w:val="both"/>
        <w:rPr>
          <w:rFonts w:ascii="Arial" w:hAnsi="Arial" w:cs="Arial"/>
          <w:b/>
          <w:color w:val="232323"/>
        </w:rPr>
      </w:pPr>
      <w:r w:rsidRPr="00BB1D13">
        <w:rPr>
          <w:rFonts w:ascii="Arial" w:hAnsi="Arial" w:cs="Arial"/>
          <w:color w:val="232323"/>
        </w:rPr>
        <w:t>For providing access to electricity to the people living in un-electrified areas of urban local bodies, the State Government has launched a programme namely, Biju Saharanchala Vidyutikaran Yojana (BSVY) during the year 2010-11. Under the scheme, un-electrified slums/wards with minimum population of 100 along with BPL household electrification and system improvement are being taken up. The maximum cost of electrification of an un-electrified village is estimated at Rs. 4.5 lakh and BPL house electrification is estimated at Rs.2000/- per household. The budget provision for FY 2014-15 is Rs. 10 Crs. The scheme is being implemented by District Administration presently and Govt. is in the process to implement it through Discoms.</w:t>
      </w:r>
    </w:p>
    <w:p w:rsidR="003012C6" w:rsidRPr="00BB1D13" w:rsidRDefault="003012C6" w:rsidP="003012C6">
      <w:pPr>
        <w:pStyle w:val="ListParagraph"/>
        <w:spacing w:line="360" w:lineRule="auto"/>
        <w:ind w:left="0"/>
        <w:jc w:val="both"/>
        <w:rPr>
          <w:rFonts w:ascii="Arial" w:hAnsi="Arial" w:cs="Arial"/>
          <w:color w:val="232323"/>
        </w:rPr>
      </w:pPr>
    </w:p>
    <w:p w:rsidR="003012C6" w:rsidRPr="00BB1D13" w:rsidRDefault="003012C6" w:rsidP="003012C6">
      <w:pPr>
        <w:pStyle w:val="ListParagraph"/>
        <w:ind w:left="0"/>
        <w:jc w:val="both"/>
        <w:rPr>
          <w:rFonts w:ascii="Arial" w:hAnsi="Arial" w:cs="Arial"/>
          <w:color w:val="232323"/>
          <w:u w:val="single"/>
        </w:rPr>
      </w:pPr>
      <w:r w:rsidRPr="00BB1D13">
        <w:rPr>
          <w:rFonts w:ascii="Arial" w:hAnsi="Arial" w:cs="Arial"/>
          <w:color w:val="232323"/>
          <w:u w:val="single"/>
        </w:rPr>
        <w:t>Progress as on 31.10.2014</w:t>
      </w:r>
    </w:p>
    <w:p w:rsidR="00BB1D13" w:rsidRDefault="00BB1D13" w:rsidP="003012C6">
      <w:pPr>
        <w:ind w:left="5040" w:firstLine="720"/>
        <w:jc w:val="center"/>
        <w:rPr>
          <w:rFonts w:ascii="Calibri" w:hAnsi="Calibri" w:cs="Calibri"/>
          <w:i/>
          <w:color w:val="232323"/>
          <w:sz w:val="22"/>
          <w:szCs w:val="22"/>
        </w:rPr>
      </w:pPr>
    </w:p>
    <w:p w:rsidR="00BB1D13" w:rsidRDefault="00BB1D13" w:rsidP="003012C6">
      <w:pPr>
        <w:ind w:left="5040" w:firstLine="720"/>
        <w:jc w:val="center"/>
        <w:rPr>
          <w:rFonts w:ascii="Calibri" w:hAnsi="Calibri" w:cs="Calibri"/>
          <w:i/>
          <w:color w:val="232323"/>
          <w:sz w:val="22"/>
          <w:szCs w:val="22"/>
        </w:rPr>
      </w:pPr>
    </w:p>
    <w:p w:rsidR="00BB1D13" w:rsidRDefault="00BB1D13" w:rsidP="003012C6">
      <w:pPr>
        <w:ind w:left="5040" w:firstLine="720"/>
        <w:jc w:val="center"/>
        <w:rPr>
          <w:rFonts w:ascii="Calibri" w:hAnsi="Calibri" w:cs="Calibri"/>
          <w:i/>
          <w:color w:val="232323"/>
          <w:sz w:val="22"/>
          <w:szCs w:val="22"/>
        </w:rPr>
      </w:pPr>
    </w:p>
    <w:p w:rsidR="00BB1D13" w:rsidRDefault="00BB1D13" w:rsidP="003012C6">
      <w:pPr>
        <w:ind w:left="5040" w:firstLine="720"/>
        <w:jc w:val="center"/>
        <w:rPr>
          <w:rFonts w:ascii="Calibri" w:hAnsi="Calibri" w:cs="Calibri"/>
          <w:i/>
          <w:color w:val="232323"/>
          <w:sz w:val="22"/>
          <w:szCs w:val="22"/>
        </w:rPr>
      </w:pPr>
    </w:p>
    <w:p w:rsidR="003012C6" w:rsidRPr="00D13284" w:rsidRDefault="003012C6" w:rsidP="003012C6">
      <w:pPr>
        <w:ind w:left="5040" w:firstLine="720"/>
        <w:jc w:val="center"/>
        <w:rPr>
          <w:rFonts w:ascii="Calibri" w:hAnsi="Calibri" w:cs="Calibri"/>
          <w:i/>
          <w:color w:val="232323"/>
          <w:sz w:val="22"/>
          <w:szCs w:val="22"/>
        </w:rPr>
      </w:pPr>
      <w:r w:rsidRPr="00D13284">
        <w:rPr>
          <w:rFonts w:ascii="Calibri" w:hAnsi="Calibri" w:cs="Calibri"/>
          <w:i/>
          <w:color w:val="232323"/>
          <w:sz w:val="22"/>
          <w:szCs w:val="22"/>
        </w:rPr>
        <w:lastRenderedPageBreak/>
        <w:t>All figures in Cr.</w:t>
      </w:r>
    </w:p>
    <w:tbl>
      <w:tblPr>
        <w:tblW w:w="865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86"/>
        <w:gridCol w:w="1559"/>
        <w:gridCol w:w="1418"/>
        <w:gridCol w:w="1417"/>
        <w:gridCol w:w="1413"/>
        <w:gridCol w:w="1564"/>
      </w:tblGrid>
      <w:tr w:rsidR="003012C6" w:rsidRPr="00D13284" w:rsidTr="003012C6">
        <w:trPr>
          <w:trHeight w:val="1080"/>
        </w:trPr>
        <w:tc>
          <w:tcPr>
            <w:tcW w:w="1286" w:type="dxa"/>
            <w:shd w:val="clear" w:color="000000" w:fill="FFFFCC"/>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Discom </w:t>
            </w:r>
          </w:p>
        </w:tc>
        <w:tc>
          <w:tcPr>
            <w:tcW w:w="1559" w:type="dxa"/>
            <w:shd w:val="clear" w:color="000000" w:fill="FFFFCC"/>
            <w:vAlign w:val="center"/>
            <w:hideMark/>
          </w:tcPr>
          <w:p w:rsidR="003012C6" w:rsidRPr="00D13284" w:rsidRDefault="003012C6" w:rsidP="003012C6">
            <w:pPr>
              <w:ind w:left="-108" w:right="-108"/>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No. of Programmed Slums</w:t>
            </w:r>
          </w:p>
        </w:tc>
        <w:tc>
          <w:tcPr>
            <w:tcW w:w="1418" w:type="dxa"/>
            <w:shd w:val="clear" w:color="000000" w:fill="FFFFCC"/>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No. of Completed Slums</w:t>
            </w:r>
          </w:p>
        </w:tc>
        <w:tc>
          <w:tcPr>
            <w:tcW w:w="1417" w:type="dxa"/>
            <w:shd w:val="clear" w:color="000000" w:fill="FFFFCC"/>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No. of BPL charged</w:t>
            </w:r>
          </w:p>
        </w:tc>
        <w:tc>
          <w:tcPr>
            <w:tcW w:w="1413" w:type="dxa"/>
            <w:shd w:val="clear" w:color="000000" w:fill="FFFFCC"/>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Fund Allocated / Receipt</w:t>
            </w:r>
          </w:p>
        </w:tc>
        <w:tc>
          <w:tcPr>
            <w:tcW w:w="1564" w:type="dxa"/>
            <w:shd w:val="clear" w:color="000000" w:fill="FFFFCC"/>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Expenditure Made</w:t>
            </w:r>
          </w:p>
        </w:tc>
      </w:tr>
      <w:tr w:rsidR="003012C6" w:rsidRPr="00D13284" w:rsidTr="003012C6">
        <w:trPr>
          <w:trHeight w:val="375"/>
        </w:trPr>
        <w:tc>
          <w:tcPr>
            <w:tcW w:w="1286" w:type="dxa"/>
            <w:shd w:val="clear" w:color="000000" w:fill="FFFFFF"/>
            <w:vAlign w:val="center"/>
            <w:hideMark/>
          </w:tcPr>
          <w:p w:rsidR="003012C6" w:rsidRPr="00D13284" w:rsidRDefault="003012C6" w:rsidP="003012C6">
            <w:pP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SOUTHCO </w:t>
            </w:r>
          </w:p>
        </w:tc>
        <w:tc>
          <w:tcPr>
            <w:tcW w:w="1559"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574</w:t>
            </w:r>
          </w:p>
        </w:tc>
        <w:tc>
          <w:tcPr>
            <w:tcW w:w="1418"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392</w:t>
            </w:r>
          </w:p>
        </w:tc>
        <w:tc>
          <w:tcPr>
            <w:tcW w:w="1417"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5763</w:t>
            </w:r>
          </w:p>
        </w:tc>
        <w:tc>
          <w:tcPr>
            <w:tcW w:w="1413"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29.01</w:t>
            </w:r>
          </w:p>
        </w:tc>
        <w:tc>
          <w:tcPr>
            <w:tcW w:w="1564"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10.63</w:t>
            </w:r>
          </w:p>
        </w:tc>
      </w:tr>
      <w:tr w:rsidR="003012C6" w:rsidRPr="00D13284" w:rsidTr="003012C6">
        <w:trPr>
          <w:trHeight w:val="375"/>
        </w:trPr>
        <w:tc>
          <w:tcPr>
            <w:tcW w:w="1286" w:type="dxa"/>
            <w:shd w:val="clear" w:color="000000" w:fill="C0C0C0"/>
            <w:vAlign w:val="center"/>
            <w:hideMark/>
          </w:tcPr>
          <w:p w:rsidR="003012C6" w:rsidRPr="00D13284" w:rsidRDefault="003012C6" w:rsidP="003012C6">
            <w:pP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WESCO </w:t>
            </w:r>
          </w:p>
        </w:tc>
        <w:tc>
          <w:tcPr>
            <w:tcW w:w="1559" w:type="dxa"/>
            <w:shd w:val="clear" w:color="000000" w:fill="C0C0C0"/>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616</w:t>
            </w:r>
          </w:p>
        </w:tc>
        <w:tc>
          <w:tcPr>
            <w:tcW w:w="1418" w:type="dxa"/>
            <w:shd w:val="clear" w:color="000000" w:fill="C0C0C0"/>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377</w:t>
            </w:r>
          </w:p>
        </w:tc>
        <w:tc>
          <w:tcPr>
            <w:tcW w:w="1417" w:type="dxa"/>
            <w:shd w:val="clear" w:color="000000" w:fill="C0C0C0"/>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2989</w:t>
            </w:r>
          </w:p>
        </w:tc>
        <w:tc>
          <w:tcPr>
            <w:tcW w:w="1413" w:type="dxa"/>
            <w:shd w:val="clear" w:color="000000" w:fill="C0C0C0"/>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21.55</w:t>
            </w:r>
          </w:p>
        </w:tc>
        <w:tc>
          <w:tcPr>
            <w:tcW w:w="1564" w:type="dxa"/>
            <w:shd w:val="clear" w:color="000000" w:fill="C0C0C0"/>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10.05</w:t>
            </w:r>
          </w:p>
        </w:tc>
      </w:tr>
      <w:tr w:rsidR="003012C6" w:rsidRPr="00D13284" w:rsidTr="003012C6">
        <w:trPr>
          <w:trHeight w:val="375"/>
        </w:trPr>
        <w:tc>
          <w:tcPr>
            <w:tcW w:w="1286" w:type="dxa"/>
            <w:shd w:val="clear" w:color="000000" w:fill="FFFFFF"/>
            <w:vAlign w:val="center"/>
            <w:hideMark/>
          </w:tcPr>
          <w:p w:rsidR="003012C6" w:rsidRPr="00D13284" w:rsidRDefault="003012C6" w:rsidP="003012C6">
            <w:pP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NESCO </w:t>
            </w:r>
          </w:p>
        </w:tc>
        <w:tc>
          <w:tcPr>
            <w:tcW w:w="1559"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680</w:t>
            </w:r>
          </w:p>
        </w:tc>
        <w:tc>
          <w:tcPr>
            <w:tcW w:w="1418"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432</w:t>
            </w:r>
          </w:p>
        </w:tc>
        <w:tc>
          <w:tcPr>
            <w:tcW w:w="1417"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5672</w:t>
            </w:r>
          </w:p>
        </w:tc>
        <w:tc>
          <w:tcPr>
            <w:tcW w:w="1413"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12.71</w:t>
            </w:r>
          </w:p>
        </w:tc>
        <w:tc>
          <w:tcPr>
            <w:tcW w:w="1564"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9.52</w:t>
            </w:r>
          </w:p>
        </w:tc>
      </w:tr>
      <w:tr w:rsidR="003012C6" w:rsidRPr="00D13284" w:rsidTr="003012C6">
        <w:trPr>
          <w:trHeight w:val="375"/>
        </w:trPr>
        <w:tc>
          <w:tcPr>
            <w:tcW w:w="1286" w:type="dxa"/>
            <w:shd w:val="clear" w:color="000000" w:fill="C0C0C0"/>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 xml:space="preserve">Total </w:t>
            </w:r>
          </w:p>
        </w:tc>
        <w:tc>
          <w:tcPr>
            <w:tcW w:w="1559" w:type="dxa"/>
            <w:shd w:val="clear" w:color="000000" w:fill="C0C0C0"/>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1870</w:t>
            </w:r>
          </w:p>
        </w:tc>
        <w:tc>
          <w:tcPr>
            <w:tcW w:w="1418" w:type="dxa"/>
            <w:shd w:val="clear" w:color="000000" w:fill="C0C0C0"/>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1201</w:t>
            </w:r>
          </w:p>
        </w:tc>
        <w:tc>
          <w:tcPr>
            <w:tcW w:w="1417" w:type="dxa"/>
            <w:shd w:val="clear" w:color="000000" w:fill="C0C0C0"/>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14424</w:t>
            </w:r>
          </w:p>
        </w:tc>
        <w:tc>
          <w:tcPr>
            <w:tcW w:w="1413" w:type="dxa"/>
            <w:shd w:val="clear" w:color="000000" w:fill="C0C0C0"/>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63.27</w:t>
            </w:r>
          </w:p>
        </w:tc>
        <w:tc>
          <w:tcPr>
            <w:tcW w:w="1564" w:type="dxa"/>
            <w:shd w:val="clear" w:color="000000" w:fill="C0C0C0"/>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30.20</w:t>
            </w:r>
          </w:p>
        </w:tc>
      </w:tr>
    </w:tbl>
    <w:p w:rsidR="003012C6" w:rsidRPr="00D13284" w:rsidRDefault="003012C6" w:rsidP="003012C6">
      <w:pPr>
        <w:pStyle w:val="ListParagraph"/>
        <w:ind w:left="0"/>
        <w:jc w:val="both"/>
        <w:rPr>
          <w:rFonts w:cs="Calibri"/>
          <w:b/>
          <w:color w:val="232323"/>
        </w:rPr>
      </w:pPr>
    </w:p>
    <w:p w:rsidR="003012C6" w:rsidRPr="00BB1D13" w:rsidRDefault="003012C6" w:rsidP="003012C6">
      <w:pPr>
        <w:pStyle w:val="Heading1"/>
        <w:numPr>
          <w:ilvl w:val="1"/>
          <w:numId w:val="1"/>
        </w:numPr>
        <w:spacing w:line="360" w:lineRule="auto"/>
        <w:jc w:val="both"/>
        <w:rPr>
          <w:sz w:val="22"/>
          <w:szCs w:val="22"/>
        </w:rPr>
      </w:pPr>
      <w:bookmarkStart w:id="34" w:name="_Toc404940158"/>
      <w:r w:rsidRPr="00BB1D13">
        <w:rPr>
          <w:sz w:val="22"/>
          <w:szCs w:val="22"/>
        </w:rPr>
        <w:t>Development Programme of Energy System Improvement (DESI)</w:t>
      </w:r>
      <w:bookmarkEnd w:id="34"/>
    </w:p>
    <w:p w:rsidR="003012C6" w:rsidRPr="00BB1D13" w:rsidRDefault="003012C6" w:rsidP="003012C6">
      <w:pPr>
        <w:pStyle w:val="ListParagraph"/>
        <w:spacing w:line="360" w:lineRule="auto"/>
        <w:ind w:left="360"/>
        <w:jc w:val="both"/>
        <w:rPr>
          <w:rFonts w:ascii="Arial" w:hAnsi="Arial" w:cs="Arial"/>
          <w:color w:val="232323"/>
        </w:rPr>
      </w:pPr>
      <w:r w:rsidRPr="00BB1D13">
        <w:rPr>
          <w:rFonts w:ascii="Arial" w:hAnsi="Arial" w:cs="Arial"/>
          <w:color w:val="232323"/>
        </w:rPr>
        <w:t>The State Govt. has lunched DESI programme during the year 2012 for replacement of burnt Transformers and to supplement the critical gaps of rural household electrification programs such as RGGVY &amp; BGJY etc. to ensure quality power to all. The funds are dovetailed from different programs including Integrated Action Plan (IAP), Gopabandhu Grameen Yojana (GGY), Biju KBK, Western Odisha Development Council (WODC), Backward Region Grant Fund (BRGF) etc. The scheme is being implemented by Discoms.</w:t>
      </w:r>
    </w:p>
    <w:p w:rsidR="003012C6" w:rsidRPr="00BB1D13" w:rsidRDefault="003012C6" w:rsidP="003012C6">
      <w:pPr>
        <w:pStyle w:val="ListParagraph"/>
        <w:spacing w:line="360" w:lineRule="auto"/>
        <w:ind w:left="360"/>
        <w:jc w:val="both"/>
        <w:rPr>
          <w:rFonts w:ascii="Arial" w:hAnsi="Arial" w:cs="Arial"/>
          <w:color w:val="232323"/>
        </w:rPr>
      </w:pPr>
    </w:p>
    <w:p w:rsidR="003012C6" w:rsidRPr="00BB1D13" w:rsidRDefault="003012C6" w:rsidP="003012C6">
      <w:pPr>
        <w:pStyle w:val="ListParagraph"/>
        <w:spacing w:line="360" w:lineRule="auto"/>
        <w:ind w:left="360"/>
        <w:jc w:val="both"/>
        <w:rPr>
          <w:rFonts w:ascii="Arial" w:hAnsi="Arial" w:cs="Arial"/>
          <w:color w:val="232323"/>
          <w:u w:val="single"/>
        </w:rPr>
      </w:pPr>
      <w:r w:rsidRPr="00BB1D13">
        <w:rPr>
          <w:rFonts w:ascii="Arial" w:hAnsi="Arial" w:cs="Arial"/>
          <w:color w:val="232323"/>
          <w:u w:val="single"/>
        </w:rPr>
        <w:t>Progress as on 31.10.2014</w:t>
      </w:r>
    </w:p>
    <w:p w:rsidR="003012C6" w:rsidRPr="00D13284" w:rsidRDefault="003012C6" w:rsidP="003012C6">
      <w:pPr>
        <w:spacing w:line="360" w:lineRule="auto"/>
        <w:ind w:left="1440" w:firstLine="720"/>
        <w:jc w:val="center"/>
        <w:rPr>
          <w:rFonts w:ascii="Calibri" w:hAnsi="Calibri" w:cs="Calibri"/>
          <w:i/>
          <w:color w:val="232323"/>
          <w:sz w:val="22"/>
          <w:szCs w:val="22"/>
        </w:rPr>
      </w:pPr>
      <w:r w:rsidRPr="00D13284">
        <w:rPr>
          <w:rFonts w:ascii="Calibri" w:hAnsi="Calibri" w:cs="Calibri"/>
          <w:i/>
          <w:color w:val="232323"/>
          <w:sz w:val="22"/>
          <w:szCs w:val="22"/>
        </w:rPr>
        <w:t>All figures in Cr.</w:t>
      </w:r>
    </w:p>
    <w:tbl>
      <w:tblPr>
        <w:tblW w:w="695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8"/>
        <w:gridCol w:w="1417"/>
        <w:gridCol w:w="1418"/>
        <w:gridCol w:w="1276"/>
        <w:gridCol w:w="1418"/>
      </w:tblGrid>
      <w:tr w:rsidR="003012C6" w:rsidRPr="00D13284" w:rsidTr="003012C6">
        <w:trPr>
          <w:trHeight w:val="1095"/>
        </w:trPr>
        <w:tc>
          <w:tcPr>
            <w:tcW w:w="1428" w:type="dxa"/>
            <w:shd w:val="clear" w:color="000000" w:fill="FFFFCC"/>
            <w:vAlign w:val="center"/>
            <w:hideMark/>
          </w:tcPr>
          <w:p w:rsidR="003012C6" w:rsidRPr="00D13284" w:rsidRDefault="003012C6" w:rsidP="003012C6">
            <w:pPr>
              <w:spacing w:line="360" w:lineRule="auto"/>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Discom </w:t>
            </w:r>
          </w:p>
        </w:tc>
        <w:tc>
          <w:tcPr>
            <w:tcW w:w="1417" w:type="dxa"/>
            <w:shd w:val="clear" w:color="000000" w:fill="FFFFCC"/>
            <w:vAlign w:val="center"/>
            <w:hideMark/>
          </w:tcPr>
          <w:p w:rsidR="003012C6" w:rsidRPr="00D13284" w:rsidRDefault="003012C6" w:rsidP="003012C6">
            <w:pPr>
              <w:spacing w:line="360" w:lineRule="auto"/>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DTR s  Planned (No.)</w:t>
            </w:r>
          </w:p>
        </w:tc>
        <w:tc>
          <w:tcPr>
            <w:tcW w:w="1418" w:type="dxa"/>
            <w:shd w:val="clear" w:color="000000" w:fill="FFFFCC"/>
            <w:vAlign w:val="center"/>
          </w:tcPr>
          <w:p w:rsidR="003012C6" w:rsidRPr="00D13284" w:rsidRDefault="003012C6" w:rsidP="003012C6">
            <w:pPr>
              <w:spacing w:line="360" w:lineRule="auto"/>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DTRs Installed (No.) </w:t>
            </w:r>
          </w:p>
        </w:tc>
        <w:tc>
          <w:tcPr>
            <w:tcW w:w="1276" w:type="dxa"/>
            <w:shd w:val="clear" w:color="000000" w:fill="FFFFCC"/>
            <w:vAlign w:val="center"/>
          </w:tcPr>
          <w:p w:rsidR="003012C6" w:rsidRPr="00D13284" w:rsidRDefault="003012C6" w:rsidP="003012C6">
            <w:pPr>
              <w:spacing w:line="360" w:lineRule="auto"/>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Estimated cost </w:t>
            </w:r>
          </w:p>
        </w:tc>
        <w:tc>
          <w:tcPr>
            <w:tcW w:w="1418" w:type="dxa"/>
            <w:shd w:val="clear" w:color="000000" w:fill="FFFFCC"/>
            <w:vAlign w:val="center"/>
            <w:hideMark/>
          </w:tcPr>
          <w:p w:rsidR="003012C6" w:rsidRPr="00D13284" w:rsidRDefault="003012C6" w:rsidP="003012C6">
            <w:pPr>
              <w:spacing w:line="360" w:lineRule="auto"/>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Fund released </w:t>
            </w:r>
          </w:p>
        </w:tc>
      </w:tr>
      <w:tr w:rsidR="003012C6" w:rsidRPr="00D13284" w:rsidTr="003012C6">
        <w:trPr>
          <w:trHeight w:val="375"/>
        </w:trPr>
        <w:tc>
          <w:tcPr>
            <w:tcW w:w="1428" w:type="dxa"/>
            <w:shd w:val="clear" w:color="000000" w:fill="FFFFFF"/>
            <w:vAlign w:val="center"/>
            <w:hideMark/>
          </w:tcPr>
          <w:p w:rsidR="003012C6" w:rsidRPr="00D13284" w:rsidRDefault="003012C6" w:rsidP="003012C6">
            <w:pPr>
              <w:spacing w:line="360" w:lineRule="auto"/>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SOUTHCO </w:t>
            </w:r>
          </w:p>
        </w:tc>
        <w:tc>
          <w:tcPr>
            <w:tcW w:w="1417" w:type="dxa"/>
            <w:shd w:val="clear" w:color="000000" w:fill="FFFFFF"/>
            <w:vAlign w:val="center"/>
            <w:hideMark/>
          </w:tcPr>
          <w:p w:rsidR="003012C6" w:rsidRPr="00D13284" w:rsidRDefault="003012C6" w:rsidP="003012C6">
            <w:pPr>
              <w:spacing w:line="360" w:lineRule="auto"/>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1562</w:t>
            </w:r>
          </w:p>
        </w:tc>
        <w:tc>
          <w:tcPr>
            <w:tcW w:w="1418" w:type="dxa"/>
            <w:shd w:val="clear" w:color="000000" w:fill="FFFFFF"/>
            <w:vAlign w:val="center"/>
          </w:tcPr>
          <w:p w:rsidR="003012C6" w:rsidRPr="00D13284" w:rsidRDefault="003012C6" w:rsidP="003012C6">
            <w:pPr>
              <w:spacing w:line="360" w:lineRule="auto"/>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900</w:t>
            </w:r>
          </w:p>
        </w:tc>
        <w:tc>
          <w:tcPr>
            <w:tcW w:w="1276" w:type="dxa"/>
            <w:shd w:val="clear" w:color="000000" w:fill="FFFFFF"/>
            <w:vAlign w:val="center"/>
          </w:tcPr>
          <w:p w:rsidR="003012C6" w:rsidRPr="00D13284" w:rsidRDefault="003012C6" w:rsidP="003012C6">
            <w:pPr>
              <w:spacing w:line="360" w:lineRule="auto"/>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14.43</w:t>
            </w:r>
          </w:p>
        </w:tc>
        <w:tc>
          <w:tcPr>
            <w:tcW w:w="1418" w:type="dxa"/>
            <w:shd w:val="clear" w:color="000000" w:fill="FFFFFF"/>
            <w:vAlign w:val="center"/>
            <w:hideMark/>
          </w:tcPr>
          <w:p w:rsidR="003012C6" w:rsidRPr="00D13284" w:rsidRDefault="003012C6" w:rsidP="003012C6">
            <w:pPr>
              <w:spacing w:line="360" w:lineRule="auto"/>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48.66</w:t>
            </w:r>
          </w:p>
        </w:tc>
      </w:tr>
      <w:tr w:rsidR="003012C6" w:rsidRPr="00D13284" w:rsidTr="003012C6">
        <w:trPr>
          <w:trHeight w:val="375"/>
        </w:trPr>
        <w:tc>
          <w:tcPr>
            <w:tcW w:w="1428" w:type="dxa"/>
            <w:shd w:val="clear" w:color="000000" w:fill="C0C0C0"/>
            <w:vAlign w:val="center"/>
            <w:hideMark/>
          </w:tcPr>
          <w:p w:rsidR="003012C6" w:rsidRPr="00D13284" w:rsidRDefault="003012C6" w:rsidP="003012C6">
            <w:pPr>
              <w:spacing w:line="360" w:lineRule="auto"/>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WESCO </w:t>
            </w:r>
          </w:p>
        </w:tc>
        <w:tc>
          <w:tcPr>
            <w:tcW w:w="1417" w:type="dxa"/>
            <w:shd w:val="clear" w:color="000000" w:fill="C0C0C0"/>
            <w:vAlign w:val="center"/>
            <w:hideMark/>
          </w:tcPr>
          <w:p w:rsidR="003012C6" w:rsidRPr="00D13284" w:rsidRDefault="003012C6" w:rsidP="003012C6">
            <w:pPr>
              <w:spacing w:line="360" w:lineRule="auto"/>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1642</w:t>
            </w:r>
          </w:p>
        </w:tc>
        <w:tc>
          <w:tcPr>
            <w:tcW w:w="1418" w:type="dxa"/>
            <w:shd w:val="clear" w:color="000000" w:fill="C0C0C0"/>
            <w:vAlign w:val="center"/>
          </w:tcPr>
          <w:p w:rsidR="003012C6" w:rsidRPr="00D13284" w:rsidRDefault="003012C6" w:rsidP="003012C6">
            <w:pPr>
              <w:spacing w:line="360" w:lineRule="auto"/>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1107</w:t>
            </w:r>
          </w:p>
        </w:tc>
        <w:tc>
          <w:tcPr>
            <w:tcW w:w="1276" w:type="dxa"/>
            <w:shd w:val="clear" w:color="000000" w:fill="C0C0C0"/>
            <w:vAlign w:val="center"/>
          </w:tcPr>
          <w:p w:rsidR="003012C6" w:rsidRPr="00D13284" w:rsidRDefault="003012C6" w:rsidP="003012C6">
            <w:pPr>
              <w:spacing w:line="360" w:lineRule="auto"/>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36.92</w:t>
            </w:r>
          </w:p>
        </w:tc>
        <w:tc>
          <w:tcPr>
            <w:tcW w:w="1418" w:type="dxa"/>
            <w:shd w:val="clear" w:color="000000" w:fill="C0C0C0"/>
            <w:vAlign w:val="center"/>
            <w:hideMark/>
          </w:tcPr>
          <w:p w:rsidR="003012C6" w:rsidRPr="00D13284" w:rsidRDefault="003012C6" w:rsidP="003012C6">
            <w:pPr>
              <w:spacing w:line="360" w:lineRule="auto"/>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36.92</w:t>
            </w:r>
          </w:p>
        </w:tc>
      </w:tr>
      <w:tr w:rsidR="003012C6" w:rsidRPr="00D13284" w:rsidTr="003012C6">
        <w:trPr>
          <w:trHeight w:val="375"/>
        </w:trPr>
        <w:tc>
          <w:tcPr>
            <w:tcW w:w="1428" w:type="dxa"/>
            <w:shd w:val="clear" w:color="000000" w:fill="FFFFFF"/>
            <w:vAlign w:val="center"/>
            <w:hideMark/>
          </w:tcPr>
          <w:p w:rsidR="003012C6" w:rsidRPr="00D13284" w:rsidRDefault="003012C6" w:rsidP="003012C6">
            <w:pPr>
              <w:spacing w:line="360" w:lineRule="auto"/>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NESCO </w:t>
            </w:r>
          </w:p>
        </w:tc>
        <w:tc>
          <w:tcPr>
            <w:tcW w:w="1417" w:type="dxa"/>
            <w:shd w:val="clear" w:color="000000" w:fill="FFFFFF"/>
            <w:vAlign w:val="center"/>
            <w:hideMark/>
          </w:tcPr>
          <w:p w:rsidR="003012C6" w:rsidRPr="00D13284" w:rsidRDefault="003012C6" w:rsidP="003012C6">
            <w:pPr>
              <w:spacing w:line="360" w:lineRule="auto"/>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1332</w:t>
            </w:r>
          </w:p>
        </w:tc>
        <w:tc>
          <w:tcPr>
            <w:tcW w:w="1418" w:type="dxa"/>
            <w:shd w:val="clear" w:color="000000" w:fill="FFFFFF"/>
            <w:vAlign w:val="center"/>
          </w:tcPr>
          <w:p w:rsidR="003012C6" w:rsidRPr="00D13284" w:rsidRDefault="003012C6" w:rsidP="003012C6">
            <w:pPr>
              <w:spacing w:line="360" w:lineRule="auto"/>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1094</w:t>
            </w:r>
          </w:p>
        </w:tc>
        <w:tc>
          <w:tcPr>
            <w:tcW w:w="1276" w:type="dxa"/>
            <w:shd w:val="clear" w:color="000000" w:fill="FFFFFF"/>
            <w:vAlign w:val="center"/>
          </w:tcPr>
          <w:p w:rsidR="003012C6" w:rsidRPr="00D13284" w:rsidRDefault="003012C6" w:rsidP="003012C6">
            <w:pPr>
              <w:spacing w:line="360" w:lineRule="auto"/>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32.68</w:t>
            </w:r>
          </w:p>
        </w:tc>
        <w:tc>
          <w:tcPr>
            <w:tcW w:w="1418" w:type="dxa"/>
            <w:shd w:val="clear" w:color="000000" w:fill="FFFFFF"/>
            <w:vAlign w:val="center"/>
            <w:hideMark/>
          </w:tcPr>
          <w:p w:rsidR="003012C6" w:rsidRPr="00D13284" w:rsidRDefault="003012C6" w:rsidP="003012C6">
            <w:pPr>
              <w:spacing w:line="360" w:lineRule="auto"/>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32.68</w:t>
            </w:r>
          </w:p>
        </w:tc>
      </w:tr>
      <w:tr w:rsidR="003012C6" w:rsidRPr="00D13284" w:rsidTr="003012C6">
        <w:trPr>
          <w:trHeight w:val="375"/>
        </w:trPr>
        <w:tc>
          <w:tcPr>
            <w:tcW w:w="1428" w:type="dxa"/>
            <w:shd w:val="clear" w:color="000000" w:fill="C0C0C0"/>
            <w:vAlign w:val="center"/>
            <w:hideMark/>
          </w:tcPr>
          <w:p w:rsidR="003012C6" w:rsidRPr="00D13284" w:rsidRDefault="003012C6" w:rsidP="003012C6">
            <w:pPr>
              <w:spacing w:line="360" w:lineRule="auto"/>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 xml:space="preserve">Total </w:t>
            </w:r>
          </w:p>
        </w:tc>
        <w:tc>
          <w:tcPr>
            <w:tcW w:w="1417" w:type="dxa"/>
            <w:shd w:val="clear" w:color="000000" w:fill="C0C0C0"/>
            <w:vAlign w:val="center"/>
            <w:hideMark/>
          </w:tcPr>
          <w:p w:rsidR="003012C6" w:rsidRPr="00D13284" w:rsidRDefault="003012C6" w:rsidP="003012C6">
            <w:pPr>
              <w:spacing w:line="360" w:lineRule="auto"/>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4536</w:t>
            </w:r>
          </w:p>
        </w:tc>
        <w:tc>
          <w:tcPr>
            <w:tcW w:w="1418" w:type="dxa"/>
            <w:shd w:val="clear" w:color="000000" w:fill="C0C0C0"/>
            <w:vAlign w:val="center"/>
          </w:tcPr>
          <w:p w:rsidR="003012C6" w:rsidRPr="00D13284" w:rsidRDefault="003012C6" w:rsidP="003012C6">
            <w:pPr>
              <w:spacing w:line="360" w:lineRule="auto"/>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3101</w:t>
            </w:r>
          </w:p>
        </w:tc>
        <w:tc>
          <w:tcPr>
            <w:tcW w:w="1276" w:type="dxa"/>
            <w:shd w:val="clear" w:color="000000" w:fill="C0C0C0"/>
            <w:vAlign w:val="center"/>
          </w:tcPr>
          <w:p w:rsidR="003012C6" w:rsidRPr="00D13284" w:rsidRDefault="003012C6" w:rsidP="003012C6">
            <w:pPr>
              <w:spacing w:line="360" w:lineRule="auto"/>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84.03</w:t>
            </w:r>
          </w:p>
        </w:tc>
        <w:tc>
          <w:tcPr>
            <w:tcW w:w="1418" w:type="dxa"/>
            <w:shd w:val="clear" w:color="000000" w:fill="C0C0C0"/>
            <w:vAlign w:val="center"/>
            <w:hideMark/>
          </w:tcPr>
          <w:p w:rsidR="003012C6" w:rsidRPr="00D13284" w:rsidRDefault="003012C6" w:rsidP="003012C6">
            <w:pPr>
              <w:spacing w:line="360" w:lineRule="auto"/>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118.26</w:t>
            </w:r>
          </w:p>
        </w:tc>
      </w:tr>
    </w:tbl>
    <w:p w:rsidR="003012C6" w:rsidRPr="00D13284" w:rsidRDefault="003012C6" w:rsidP="003012C6">
      <w:pPr>
        <w:pStyle w:val="NoSpacing"/>
        <w:rPr>
          <w:rFonts w:cs="Calibri"/>
        </w:rPr>
      </w:pPr>
    </w:p>
    <w:p w:rsidR="003012C6" w:rsidRPr="00BB1D13" w:rsidRDefault="003012C6" w:rsidP="003012C6">
      <w:pPr>
        <w:pStyle w:val="Heading1"/>
        <w:numPr>
          <w:ilvl w:val="1"/>
          <w:numId w:val="1"/>
        </w:numPr>
        <w:spacing w:line="360" w:lineRule="auto"/>
        <w:jc w:val="both"/>
        <w:rPr>
          <w:sz w:val="22"/>
          <w:szCs w:val="22"/>
        </w:rPr>
      </w:pPr>
      <w:bookmarkStart w:id="35" w:name="_Toc404940159"/>
      <w:r w:rsidRPr="00BB1D13">
        <w:rPr>
          <w:sz w:val="22"/>
          <w:szCs w:val="22"/>
        </w:rPr>
        <w:t>Capital Expenditure Programme (CAPEX)</w:t>
      </w:r>
      <w:bookmarkEnd w:id="35"/>
    </w:p>
    <w:p w:rsidR="003012C6" w:rsidRPr="00BB1D13" w:rsidRDefault="003012C6" w:rsidP="003012C6">
      <w:pPr>
        <w:spacing w:line="360" w:lineRule="auto"/>
        <w:jc w:val="both"/>
        <w:rPr>
          <w:rFonts w:ascii="Arial" w:hAnsi="Arial" w:cs="Arial"/>
          <w:color w:val="232323"/>
          <w:sz w:val="22"/>
          <w:szCs w:val="22"/>
        </w:rPr>
      </w:pPr>
      <w:r w:rsidRPr="00BB1D13">
        <w:rPr>
          <w:rFonts w:ascii="Arial" w:hAnsi="Arial" w:cs="Arial"/>
          <w:color w:val="232323"/>
          <w:sz w:val="22"/>
          <w:szCs w:val="22"/>
        </w:rPr>
        <w:t>The State Govt. launched the CAPEX programme in the year 2010 for system improvement, reduction of AT&amp;C loss and quality power supply to consumers. The scope includes renovation/modernization of existing and new 33/11KV S/S, re-conductoring of 33KV &amp; 11KV lines, implementation of HVDS system and AB conductoring, installation of theft proof energy meters etc. Total funds to be invested under the CAPEX programme is Rs.2400Cr. out of which Govt. of Odisha will give Rs.1200Cr. (including 13</w:t>
      </w:r>
      <w:r w:rsidRPr="00BB1D13">
        <w:rPr>
          <w:rFonts w:ascii="Arial" w:hAnsi="Arial" w:cs="Arial"/>
          <w:color w:val="232323"/>
          <w:sz w:val="22"/>
          <w:szCs w:val="22"/>
          <w:vertAlign w:val="superscript"/>
        </w:rPr>
        <w:t>th</w:t>
      </w:r>
      <w:r w:rsidRPr="00BB1D13">
        <w:rPr>
          <w:rFonts w:ascii="Arial" w:hAnsi="Arial" w:cs="Arial"/>
          <w:color w:val="232323"/>
          <w:sz w:val="22"/>
          <w:szCs w:val="22"/>
        </w:rPr>
        <w:t xml:space="preserve"> Finance Commission grant of Rs. 500 Cr.) and DISCOMs will invest balance Rs.1200Crs. Initially the period of execution was 4 years </w:t>
      </w:r>
      <w:r w:rsidRPr="00BB1D13">
        <w:rPr>
          <w:rFonts w:ascii="Arial" w:hAnsi="Arial" w:cs="Arial"/>
          <w:color w:val="232323"/>
          <w:sz w:val="22"/>
          <w:szCs w:val="22"/>
        </w:rPr>
        <w:lastRenderedPageBreak/>
        <w:t>starting from FY 2010-11, however subsequently scheme period has been modified to 5 years starting from FY 2011-12 to 2015-16. OERC has approved the 1</w:t>
      </w:r>
      <w:r w:rsidRPr="00BB1D13">
        <w:rPr>
          <w:rFonts w:ascii="Arial" w:hAnsi="Arial" w:cs="Arial"/>
          <w:color w:val="232323"/>
          <w:sz w:val="22"/>
          <w:szCs w:val="22"/>
          <w:vertAlign w:val="superscript"/>
        </w:rPr>
        <w:t>st</w:t>
      </w:r>
      <w:r w:rsidRPr="00BB1D13">
        <w:rPr>
          <w:rFonts w:ascii="Arial" w:hAnsi="Arial" w:cs="Arial"/>
          <w:color w:val="232323"/>
          <w:sz w:val="22"/>
          <w:szCs w:val="22"/>
        </w:rPr>
        <w:t xml:space="preserve"> phase DPRs of Rs. 559 Cr. (NESCO – 189 Cr., WESCO – 185.5 Cr., SOUTHCO – 184.5 Cr.) for three Discoms. The DPRs for 2</w:t>
      </w:r>
      <w:r w:rsidRPr="00BB1D13">
        <w:rPr>
          <w:rFonts w:ascii="Arial" w:hAnsi="Arial" w:cs="Arial"/>
          <w:color w:val="232323"/>
          <w:sz w:val="22"/>
          <w:szCs w:val="22"/>
          <w:vertAlign w:val="superscript"/>
        </w:rPr>
        <w:t>nd</w:t>
      </w:r>
      <w:r w:rsidRPr="00BB1D13">
        <w:rPr>
          <w:rFonts w:ascii="Arial" w:hAnsi="Arial" w:cs="Arial"/>
          <w:color w:val="232323"/>
          <w:sz w:val="22"/>
          <w:szCs w:val="22"/>
        </w:rPr>
        <w:t xml:space="preserve"> phase (2014-15 &amp; 2015-16) are under preparation by DISCOMs. The budget provision including 13</w:t>
      </w:r>
      <w:r w:rsidRPr="00BB1D13">
        <w:rPr>
          <w:rFonts w:ascii="Arial" w:hAnsi="Arial" w:cs="Arial"/>
          <w:color w:val="232323"/>
          <w:sz w:val="22"/>
          <w:szCs w:val="22"/>
          <w:vertAlign w:val="superscript"/>
        </w:rPr>
        <w:t>th</w:t>
      </w:r>
      <w:r w:rsidRPr="00BB1D13">
        <w:rPr>
          <w:rFonts w:ascii="Arial" w:hAnsi="Arial" w:cs="Arial"/>
          <w:color w:val="232323"/>
          <w:sz w:val="22"/>
          <w:szCs w:val="22"/>
        </w:rPr>
        <w:t xml:space="preserve"> Finance Commission Grant is Rs.135Cr for the FY 2014-15. The scheme is being implemented by Discoms through Turnkey Contractors.</w:t>
      </w:r>
    </w:p>
    <w:p w:rsidR="003012C6" w:rsidRPr="00BB1D13" w:rsidRDefault="003012C6" w:rsidP="003012C6">
      <w:pPr>
        <w:spacing w:line="360" w:lineRule="auto"/>
        <w:rPr>
          <w:rFonts w:ascii="Arial" w:hAnsi="Arial" w:cs="Arial"/>
          <w:color w:val="232323"/>
          <w:sz w:val="22"/>
          <w:szCs w:val="22"/>
        </w:rPr>
      </w:pPr>
      <w:r w:rsidRPr="00BB1D13">
        <w:rPr>
          <w:rFonts w:ascii="Arial" w:hAnsi="Arial" w:cs="Arial"/>
          <w:color w:val="232323"/>
          <w:sz w:val="22"/>
          <w:szCs w:val="22"/>
        </w:rPr>
        <w:t>Progress of 1</w:t>
      </w:r>
      <w:r w:rsidRPr="00BB1D13">
        <w:rPr>
          <w:rFonts w:ascii="Arial" w:hAnsi="Arial" w:cs="Arial"/>
          <w:color w:val="232323"/>
          <w:sz w:val="22"/>
          <w:szCs w:val="22"/>
          <w:vertAlign w:val="superscript"/>
        </w:rPr>
        <w:t>st</w:t>
      </w:r>
      <w:r w:rsidRPr="00BB1D13">
        <w:rPr>
          <w:rFonts w:ascii="Arial" w:hAnsi="Arial" w:cs="Arial"/>
          <w:color w:val="232323"/>
          <w:sz w:val="22"/>
          <w:szCs w:val="22"/>
        </w:rPr>
        <w:t xml:space="preserve"> phase CAPEX as on 31.10.14 is given under;  </w:t>
      </w:r>
    </w:p>
    <w:p w:rsidR="003012C6" w:rsidRPr="00D13284" w:rsidRDefault="003012C6" w:rsidP="003012C6">
      <w:pPr>
        <w:jc w:val="right"/>
        <w:rPr>
          <w:rFonts w:ascii="Calibri" w:hAnsi="Calibri" w:cs="Calibri"/>
          <w:i/>
          <w:color w:val="232323"/>
          <w:sz w:val="22"/>
          <w:szCs w:val="22"/>
        </w:rPr>
      </w:pPr>
      <w:r w:rsidRPr="00D13284">
        <w:rPr>
          <w:rFonts w:ascii="Calibri" w:hAnsi="Calibri" w:cs="Calibri"/>
          <w:i/>
          <w:color w:val="232323"/>
          <w:sz w:val="22"/>
          <w:szCs w:val="22"/>
        </w:rPr>
        <w:t>All figures in Cr.</w:t>
      </w:r>
    </w:p>
    <w:tbl>
      <w:tblPr>
        <w:tblW w:w="11071" w:type="dxa"/>
        <w:tblInd w:w="-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2"/>
        <w:gridCol w:w="817"/>
        <w:gridCol w:w="816"/>
        <w:gridCol w:w="818"/>
        <w:gridCol w:w="816"/>
        <w:gridCol w:w="954"/>
        <w:gridCol w:w="817"/>
        <w:gridCol w:w="817"/>
        <w:gridCol w:w="816"/>
        <w:gridCol w:w="818"/>
        <w:gridCol w:w="816"/>
        <w:gridCol w:w="817"/>
        <w:gridCol w:w="817"/>
      </w:tblGrid>
      <w:tr w:rsidR="003012C6" w:rsidRPr="005A34B7" w:rsidTr="003012C6">
        <w:trPr>
          <w:trHeight w:val="396"/>
        </w:trPr>
        <w:tc>
          <w:tcPr>
            <w:tcW w:w="1132" w:type="dxa"/>
            <w:vMerge w:val="restart"/>
            <w:shd w:val="clear" w:color="auto" w:fill="FFFFCC"/>
            <w:vAlign w:val="center"/>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DISCOM</w:t>
            </w:r>
          </w:p>
        </w:tc>
        <w:tc>
          <w:tcPr>
            <w:tcW w:w="2451" w:type="dxa"/>
            <w:gridSpan w:val="3"/>
            <w:shd w:val="clear" w:color="auto" w:fill="FFFFCC"/>
            <w:vAlign w:val="center"/>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Revised Scope</w:t>
            </w:r>
          </w:p>
        </w:tc>
        <w:tc>
          <w:tcPr>
            <w:tcW w:w="2587" w:type="dxa"/>
            <w:gridSpan w:val="3"/>
            <w:shd w:val="clear" w:color="auto" w:fill="FFFFCC"/>
            <w:vAlign w:val="center"/>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Tender Floated</w:t>
            </w:r>
          </w:p>
        </w:tc>
        <w:tc>
          <w:tcPr>
            <w:tcW w:w="2451" w:type="dxa"/>
            <w:gridSpan w:val="3"/>
            <w:shd w:val="clear" w:color="auto" w:fill="FFFFCC"/>
            <w:vAlign w:val="center"/>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Order Placed</w:t>
            </w:r>
          </w:p>
        </w:tc>
        <w:tc>
          <w:tcPr>
            <w:tcW w:w="2450" w:type="dxa"/>
            <w:gridSpan w:val="3"/>
            <w:shd w:val="clear" w:color="auto" w:fill="FFFFCC"/>
            <w:vAlign w:val="center"/>
          </w:tcPr>
          <w:p w:rsidR="003012C6" w:rsidRPr="005A34B7" w:rsidRDefault="003012C6" w:rsidP="003012C6">
            <w:pPr>
              <w:jc w:val="center"/>
              <w:rPr>
                <w:rFonts w:ascii="Calibri" w:hAnsi="Calibri" w:cs="Calibri"/>
                <w:color w:val="232323"/>
                <w:sz w:val="22"/>
                <w:szCs w:val="22"/>
              </w:rPr>
            </w:pPr>
            <w:r w:rsidRPr="005A34B7">
              <w:rPr>
                <w:rFonts w:ascii="Calibri" w:hAnsi="Calibri" w:cs="Calibri"/>
                <w:color w:val="232323"/>
                <w:sz w:val="22"/>
                <w:szCs w:val="22"/>
              </w:rPr>
              <w:t>Funds Utilized</w:t>
            </w:r>
          </w:p>
        </w:tc>
      </w:tr>
      <w:tr w:rsidR="003012C6" w:rsidRPr="005A34B7" w:rsidTr="003012C6">
        <w:trPr>
          <w:trHeight w:val="224"/>
        </w:trPr>
        <w:tc>
          <w:tcPr>
            <w:tcW w:w="1132" w:type="dxa"/>
            <w:vMerge/>
            <w:shd w:val="clear" w:color="auto" w:fill="FFFFCC"/>
            <w:vAlign w:val="center"/>
          </w:tcPr>
          <w:p w:rsidR="003012C6" w:rsidRPr="005A34B7" w:rsidRDefault="003012C6" w:rsidP="003012C6">
            <w:pPr>
              <w:spacing w:line="276" w:lineRule="auto"/>
              <w:jc w:val="center"/>
              <w:rPr>
                <w:rFonts w:ascii="Calibri" w:hAnsi="Calibri" w:cs="Calibri"/>
                <w:color w:val="232323"/>
                <w:sz w:val="22"/>
                <w:szCs w:val="22"/>
              </w:rPr>
            </w:pPr>
          </w:p>
        </w:tc>
        <w:tc>
          <w:tcPr>
            <w:tcW w:w="817" w:type="dxa"/>
            <w:shd w:val="clear" w:color="auto" w:fill="FFFFCC"/>
            <w:vAlign w:val="center"/>
          </w:tcPr>
          <w:p w:rsidR="003012C6" w:rsidRPr="005A34B7" w:rsidRDefault="003012C6" w:rsidP="003012C6">
            <w:pPr>
              <w:spacing w:line="276" w:lineRule="auto"/>
              <w:ind w:left="-107" w:right="-100"/>
              <w:jc w:val="center"/>
              <w:rPr>
                <w:rFonts w:ascii="Calibri" w:hAnsi="Calibri" w:cs="Calibri"/>
                <w:color w:val="232323"/>
                <w:sz w:val="22"/>
                <w:szCs w:val="22"/>
              </w:rPr>
            </w:pPr>
            <w:r w:rsidRPr="005A34B7">
              <w:rPr>
                <w:rFonts w:ascii="Calibri" w:hAnsi="Calibri" w:cs="Calibri"/>
                <w:color w:val="232323"/>
                <w:sz w:val="22"/>
                <w:szCs w:val="22"/>
              </w:rPr>
              <w:t>Material</w:t>
            </w:r>
          </w:p>
        </w:tc>
        <w:tc>
          <w:tcPr>
            <w:tcW w:w="816" w:type="dxa"/>
            <w:shd w:val="clear" w:color="auto" w:fill="FFFFCC"/>
            <w:vAlign w:val="center"/>
          </w:tcPr>
          <w:p w:rsidR="003012C6" w:rsidRPr="005A34B7" w:rsidRDefault="003012C6" w:rsidP="003012C6">
            <w:pPr>
              <w:spacing w:line="276" w:lineRule="auto"/>
              <w:ind w:left="-130" w:right="-102"/>
              <w:jc w:val="center"/>
              <w:rPr>
                <w:rFonts w:ascii="Calibri" w:hAnsi="Calibri" w:cs="Calibri"/>
                <w:color w:val="232323"/>
                <w:sz w:val="22"/>
                <w:szCs w:val="22"/>
              </w:rPr>
            </w:pPr>
            <w:r w:rsidRPr="005A34B7">
              <w:rPr>
                <w:rFonts w:ascii="Calibri" w:hAnsi="Calibri" w:cs="Calibri"/>
                <w:color w:val="232323"/>
                <w:sz w:val="22"/>
                <w:szCs w:val="22"/>
              </w:rPr>
              <w:t>Turnkey</w:t>
            </w:r>
          </w:p>
        </w:tc>
        <w:tc>
          <w:tcPr>
            <w:tcW w:w="817" w:type="dxa"/>
            <w:shd w:val="clear" w:color="auto" w:fill="FFFFCC"/>
            <w:vAlign w:val="center"/>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Total</w:t>
            </w:r>
          </w:p>
        </w:tc>
        <w:tc>
          <w:tcPr>
            <w:tcW w:w="816" w:type="dxa"/>
            <w:shd w:val="clear" w:color="auto" w:fill="FFFFCC"/>
            <w:vAlign w:val="center"/>
          </w:tcPr>
          <w:p w:rsidR="003012C6" w:rsidRPr="005A34B7" w:rsidRDefault="003012C6" w:rsidP="003012C6">
            <w:pPr>
              <w:spacing w:line="276" w:lineRule="auto"/>
              <w:ind w:left="-107" w:right="-100"/>
              <w:jc w:val="center"/>
              <w:rPr>
                <w:rFonts w:ascii="Calibri" w:hAnsi="Calibri" w:cs="Calibri"/>
                <w:color w:val="232323"/>
                <w:sz w:val="22"/>
                <w:szCs w:val="22"/>
              </w:rPr>
            </w:pPr>
            <w:r w:rsidRPr="005A34B7">
              <w:rPr>
                <w:rFonts w:ascii="Calibri" w:hAnsi="Calibri" w:cs="Calibri"/>
                <w:color w:val="232323"/>
                <w:sz w:val="22"/>
                <w:szCs w:val="22"/>
              </w:rPr>
              <w:t>Material</w:t>
            </w:r>
          </w:p>
        </w:tc>
        <w:tc>
          <w:tcPr>
            <w:tcW w:w="954" w:type="dxa"/>
            <w:shd w:val="clear" w:color="auto" w:fill="FFFFCC"/>
            <w:vAlign w:val="center"/>
          </w:tcPr>
          <w:p w:rsidR="003012C6" w:rsidRPr="005A34B7" w:rsidRDefault="003012C6" w:rsidP="003012C6">
            <w:pPr>
              <w:spacing w:line="276" w:lineRule="auto"/>
              <w:ind w:left="-107" w:right="-100"/>
              <w:jc w:val="center"/>
              <w:rPr>
                <w:rFonts w:ascii="Calibri" w:hAnsi="Calibri" w:cs="Calibri"/>
                <w:color w:val="232323"/>
                <w:sz w:val="22"/>
                <w:szCs w:val="22"/>
              </w:rPr>
            </w:pPr>
            <w:r w:rsidRPr="005A34B7">
              <w:rPr>
                <w:rFonts w:ascii="Calibri" w:hAnsi="Calibri" w:cs="Calibri"/>
                <w:color w:val="232323"/>
                <w:sz w:val="22"/>
                <w:szCs w:val="22"/>
              </w:rPr>
              <w:t>Turnkey</w:t>
            </w:r>
          </w:p>
        </w:tc>
        <w:tc>
          <w:tcPr>
            <w:tcW w:w="816" w:type="dxa"/>
            <w:shd w:val="clear" w:color="auto" w:fill="FFFFCC"/>
            <w:vAlign w:val="center"/>
          </w:tcPr>
          <w:p w:rsidR="003012C6" w:rsidRPr="005A34B7" w:rsidRDefault="003012C6" w:rsidP="003012C6">
            <w:pPr>
              <w:spacing w:line="276" w:lineRule="auto"/>
              <w:ind w:left="-107" w:right="-100"/>
              <w:jc w:val="center"/>
              <w:rPr>
                <w:rFonts w:ascii="Calibri" w:hAnsi="Calibri" w:cs="Calibri"/>
                <w:color w:val="232323"/>
                <w:sz w:val="22"/>
                <w:szCs w:val="22"/>
              </w:rPr>
            </w:pPr>
            <w:r w:rsidRPr="005A34B7">
              <w:rPr>
                <w:rFonts w:ascii="Calibri" w:hAnsi="Calibri" w:cs="Calibri"/>
                <w:color w:val="232323"/>
                <w:sz w:val="22"/>
                <w:szCs w:val="22"/>
              </w:rPr>
              <w:t>Total</w:t>
            </w:r>
          </w:p>
        </w:tc>
        <w:tc>
          <w:tcPr>
            <w:tcW w:w="817" w:type="dxa"/>
            <w:shd w:val="clear" w:color="auto" w:fill="FFFFCC"/>
            <w:vAlign w:val="center"/>
          </w:tcPr>
          <w:p w:rsidR="003012C6" w:rsidRPr="005A34B7" w:rsidRDefault="003012C6" w:rsidP="003012C6">
            <w:pPr>
              <w:spacing w:line="276" w:lineRule="auto"/>
              <w:ind w:left="-107" w:right="-100"/>
              <w:jc w:val="center"/>
              <w:rPr>
                <w:rFonts w:ascii="Calibri" w:hAnsi="Calibri" w:cs="Calibri"/>
                <w:color w:val="232323"/>
                <w:sz w:val="22"/>
                <w:szCs w:val="22"/>
              </w:rPr>
            </w:pPr>
            <w:r w:rsidRPr="005A34B7">
              <w:rPr>
                <w:rFonts w:ascii="Calibri" w:hAnsi="Calibri" w:cs="Calibri"/>
                <w:color w:val="232323"/>
                <w:sz w:val="22"/>
                <w:szCs w:val="22"/>
              </w:rPr>
              <w:t>Material</w:t>
            </w:r>
          </w:p>
        </w:tc>
        <w:tc>
          <w:tcPr>
            <w:tcW w:w="816" w:type="dxa"/>
            <w:shd w:val="clear" w:color="auto" w:fill="FFFFCC"/>
            <w:vAlign w:val="center"/>
          </w:tcPr>
          <w:p w:rsidR="003012C6" w:rsidRPr="005A34B7" w:rsidRDefault="003012C6" w:rsidP="003012C6">
            <w:pPr>
              <w:spacing w:line="276" w:lineRule="auto"/>
              <w:ind w:left="-107" w:right="-100"/>
              <w:jc w:val="center"/>
              <w:rPr>
                <w:rFonts w:ascii="Calibri" w:hAnsi="Calibri" w:cs="Calibri"/>
                <w:color w:val="232323"/>
                <w:sz w:val="22"/>
                <w:szCs w:val="22"/>
              </w:rPr>
            </w:pPr>
            <w:r w:rsidRPr="005A34B7">
              <w:rPr>
                <w:rFonts w:ascii="Calibri" w:hAnsi="Calibri" w:cs="Calibri"/>
                <w:color w:val="232323"/>
                <w:sz w:val="22"/>
                <w:szCs w:val="22"/>
              </w:rPr>
              <w:t>Turnkey</w:t>
            </w:r>
          </w:p>
        </w:tc>
        <w:tc>
          <w:tcPr>
            <w:tcW w:w="817" w:type="dxa"/>
            <w:shd w:val="clear" w:color="auto" w:fill="FFFFCC"/>
            <w:vAlign w:val="center"/>
          </w:tcPr>
          <w:p w:rsidR="003012C6" w:rsidRPr="005A34B7" w:rsidRDefault="003012C6" w:rsidP="003012C6">
            <w:pPr>
              <w:spacing w:line="276" w:lineRule="auto"/>
              <w:ind w:left="-107" w:right="-100"/>
              <w:jc w:val="center"/>
              <w:rPr>
                <w:rFonts w:ascii="Calibri" w:hAnsi="Calibri" w:cs="Calibri"/>
                <w:color w:val="232323"/>
                <w:sz w:val="22"/>
                <w:szCs w:val="22"/>
              </w:rPr>
            </w:pPr>
            <w:r w:rsidRPr="005A34B7">
              <w:rPr>
                <w:rFonts w:ascii="Calibri" w:hAnsi="Calibri" w:cs="Calibri"/>
                <w:color w:val="232323"/>
                <w:sz w:val="22"/>
                <w:szCs w:val="22"/>
              </w:rPr>
              <w:t>Total</w:t>
            </w:r>
          </w:p>
        </w:tc>
        <w:tc>
          <w:tcPr>
            <w:tcW w:w="816" w:type="dxa"/>
            <w:shd w:val="clear" w:color="auto" w:fill="FFFFCC"/>
            <w:vAlign w:val="center"/>
          </w:tcPr>
          <w:p w:rsidR="003012C6" w:rsidRPr="005A34B7" w:rsidRDefault="003012C6" w:rsidP="003012C6">
            <w:pPr>
              <w:spacing w:line="276" w:lineRule="auto"/>
              <w:ind w:left="-107" w:right="-100"/>
              <w:jc w:val="center"/>
              <w:rPr>
                <w:rFonts w:ascii="Calibri" w:hAnsi="Calibri" w:cs="Calibri"/>
                <w:color w:val="232323"/>
                <w:sz w:val="22"/>
                <w:szCs w:val="22"/>
              </w:rPr>
            </w:pPr>
            <w:r w:rsidRPr="005A34B7">
              <w:rPr>
                <w:rFonts w:ascii="Calibri" w:hAnsi="Calibri" w:cs="Calibri"/>
                <w:color w:val="232323"/>
                <w:sz w:val="22"/>
                <w:szCs w:val="22"/>
              </w:rPr>
              <w:t>Material</w:t>
            </w:r>
          </w:p>
        </w:tc>
        <w:tc>
          <w:tcPr>
            <w:tcW w:w="817" w:type="dxa"/>
            <w:shd w:val="clear" w:color="auto" w:fill="FFFFCC"/>
            <w:vAlign w:val="center"/>
          </w:tcPr>
          <w:p w:rsidR="003012C6" w:rsidRPr="005A34B7" w:rsidRDefault="003012C6" w:rsidP="003012C6">
            <w:pPr>
              <w:spacing w:line="276" w:lineRule="auto"/>
              <w:ind w:left="-107" w:right="-100"/>
              <w:jc w:val="center"/>
              <w:rPr>
                <w:rFonts w:ascii="Calibri" w:hAnsi="Calibri" w:cs="Calibri"/>
                <w:color w:val="232323"/>
                <w:sz w:val="22"/>
                <w:szCs w:val="22"/>
              </w:rPr>
            </w:pPr>
            <w:r w:rsidRPr="005A34B7">
              <w:rPr>
                <w:rFonts w:ascii="Calibri" w:hAnsi="Calibri" w:cs="Calibri"/>
                <w:color w:val="232323"/>
                <w:sz w:val="22"/>
                <w:szCs w:val="22"/>
              </w:rPr>
              <w:t>Turnkey</w:t>
            </w:r>
          </w:p>
        </w:tc>
        <w:tc>
          <w:tcPr>
            <w:tcW w:w="816" w:type="dxa"/>
            <w:shd w:val="clear" w:color="auto" w:fill="FFFFCC"/>
            <w:vAlign w:val="center"/>
          </w:tcPr>
          <w:p w:rsidR="003012C6" w:rsidRPr="005A34B7" w:rsidRDefault="003012C6" w:rsidP="003012C6">
            <w:pPr>
              <w:spacing w:line="276" w:lineRule="auto"/>
              <w:ind w:left="-107" w:right="-100"/>
              <w:jc w:val="center"/>
              <w:rPr>
                <w:rFonts w:ascii="Calibri" w:hAnsi="Calibri" w:cs="Calibri"/>
                <w:color w:val="232323"/>
                <w:sz w:val="22"/>
                <w:szCs w:val="22"/>
              </w:rPr>
            </w:pPr>
            <w:r w:rsidRPr="005A34B7">
              <w:rPr>
                <w:rFonts w:ascii="Calibri" w:hAnsi="Calibri" w:cs="Calibri"/>
                <w:color w:val="232323"/>
                <w:sz w:val="22"/>
                <w:szCs w:val="22"/>
              </w:rPr>
              <w:t>Total</w:t>
            </w:r>
          </w:p>
        </w:tc>
      </w:tr>
      <w:tr w:rsidR="003012C6" w:rsidRPr="005A34B7" w:rsidTr="003012C6">
        <w:trPr>
          <w:trHeight w:val="420"/>
        </w:trPr>
        <w:tc>
          <w:tcPr>
            <w:tcW w:w="1132" w:type="dxa"/>
            <w:vAlign w:val="center"/>
          </w:tcPr>
          <w:p w:rsidR="003012C6" w:rsidRPr="005A34B7" w:rsidRDefault="003012C6" w:rsidP="003012C6">
            <w:pPr>
              <w:spacing w:line="276" w:lineRule="auto"/>
              <w:rPr>
                <w:rFonts w:ascii="Calibri" w:hAnsi="Calibri" w:cs="Calibri"/>
                <w:color w:val="232323"/>
                <w:sz w:val="22"/>
                <w:szCs w:val="22"/>
              </w:rPr>
            </w:pPr>
            <w:r w:rsidRPr="005A34B7">
              <w:rPr>
                <w:rFonts w:ascii="Calibri" w:hAnsi="Calibri" w:cs="Calibri"/>
                <w:color w:val="232323"/>
                <w:sz w:val="22"/>
                <w:szCs w:val="22"/>
              </w:rPr>
              <w:t>SOUTHCO</w:t>
            </w:r>
          </w:p>
        </w:tc>
        <w:tc>
          <w:tcPr>
            <w:tcW w:w="817" w:type="dxa"/>
            <w:vAlign w:val="center"/>
          </w:tcPr>
          <w:p w:rsidR="003012C6" w:rsidRPr="005A34B7" w:rsidRDefault="003012C6" w:rsidP="003012C6">
            <w:pPr>
              <w:spacing w:line="276" w:lineRule="auto"/>
              <w:ind w:left="-94" w:right="-111"/>
              <w:jc w:val="center"/>
              <w:rPr>
                <w:rFonts w:ascii="Calibri" w:hAnsi="Calibri" w:cs="Calibri"/>
                <w:color w:val="232323"/>
                <w:sz w:val="22"/>
                <w:szCs w:val="22"/>
              </w:rPr>
            </w:pPr>
            <w:r w:rsidRPr="005A34B7">
              <w:rPr>
                <w:rFonts w:ascii="Calibri" w:hAnsi="Calibri" w:cs="Calibri"/>
                <w:color w:val="232323"/>
                <w:sz w:val="22"/>
                <w:szCs w:val="22"/>
              </w:rPr>
              <w:t>141.92</w:t>
            </w:r>
          </w:p>
        </w:tc>
        <w:tc>
          <w:tcPr>
            <w:tcW w:w="816" w:type="dxa"/>
            <w:vAlign w:val="center"/>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55.05</w:t>
            </w:r>
          </w:p>
        </w:tc>
        <w:tc>
          <w:tcPr>
            <w:tcW w:w="817" w:type="dxa"/>
            <w:vAlign w:val="center"/>
          </w:tcPr>
          <w:p w:rsidR="003012C6" w:rsidRPr="005A34B7" w:rsidRDefault="003012C6" w:rsidP="003012C6">
            <w:pPr>
              <w:spacing w:line="276" w:lineRule="auto"/>
              <w:ind w:left="-114" w:right="-91"/>
              <w:jc w:val="center"/>
              <w:rPr>
                <w:rFonts w:ascii="Calibri" w:hAnsi="Calibri" w:cs="Calibri"/>
                <w:color w:val="232323"/>
                <w:sz w:val="22"/>
                <w:szCs w:val="22"/>
              </w:rPr>
            </w:pPr>
            <w:r w:rsidRPr="005A34B7">
              <w:rPr>
                <w:rFonts w:ascii="Calibri" w:hAnsi="Calibri" w:cs="Calibri"/>
                <w:color w:val="232323"/>
                <w:sz w:val="22"/>
                <w:szCs w:val="22"/>
              </w:rPr>
              <w:t>196.97</w:t>
            </w:r>
          </w:p>
        </w:tc>
        <w:tc>
          <w:tcPr>
            <w:tcW w:w="816" w:type="dxa"/>
            <w:vAlign w:val="center"/>
          </w:tcPr>
          <w:p w:rsidR="003012C6" w:rsidRPr="005A34B7" w:rsidRDefault="003012C6" w:rsidP="003012C6">
            <w:pPr>
              <w:spacing w:line="276" w:lineRule="auto"/>
              <w:ind w:left="-114" w:right="-91"/>
              <w:jc w:val="center"/>
              <w:rPr>
                <w:rFonts w:ascii="Calibri" w:hAnsi="Calibri" w:cs="Calibri"/>
                <w:color w:val="232323"/>
                <w:sz w:val="22"/>
                <w:szCs w:val="22"/>
              </w:rPr>
            </w:pPr>
            <w:r w:rsidRPr="005A34B7">
              <w:rPr>
                <w:rFonts w:ascii="Calibri" w:hAnsi="Calibri" w:cs="Calibri"/>
                <w:color w:val="232323"/>
                <w:sz w:val="22"/>
                <w:szCs w:val="22"/>
              </w:rPr>
              <w:t>71.03</w:t>
            </w:r>
          </w:p>
        </w:tc>
        <w:tc>
          <w:tcPr>
            <w:tcW w:w="954" w:type="dxa"/>
            <w:vAlign w:val="center"/>
          </w:tcPr>
          <w:p w:rsidR="003012C6" w:rsidRPr="005A34B7" w:rsidRDefault="003012C6" w:rsidP="003012C6">
            <w:pPr>
              <w:spacing w:line="276" w:lineRule="auto"/>
              <w:ind w:left="-114" w:right="-91"/>
              <w:jc w:val="center"/>
              <w:rPr>
                <w:rFonts w:ascii="Calibri" w:hAnsi="Calibri" w:cs="Calibri"/>
                <w:color w:val="232323"/>
                <w:sz w:val="22"/>
                <w:szCs w:val="22"/>
              </w:rPr>
            </w:pPr>
            <w:r w:rsidRPr="005A34B7">
              <w:rPr>
                <w:rFonts w:ascii="Calibri" w:hAnsi="Calibri" w:cs="Calibri"/>
                <w:color w:val="232323"/>
                <w:sz w:val="22"/>
                <w:szCs w:val="22"/>
              </w:rPr>
              <w:t>48.82</w:t>
            </w:r>
          </w:p>
        </w:tc>
        <w:tc>
          <w:tcPr>
            <w:tcW w:w="816" w:type="dxa"/>
            <w:vAlign w:val="center"/>
          </w:tcPr>
          <w:p w:rsidR="003012C6" w:rsidRPr="005A34B7" w:rsidRDefault="003012C6" w:rsidP="003012C6">
            <w:pPr>
              <w:spacing w:line="276" w:lineRule="auto"/>
              <w:ind w:left="-114" w:right="-91"/>
              <w:jc w:val="center"/>
              <w:rPr>
                <w:rFonts w:ascii="Calibri" w:hAnsi="Calibri" w:cs="Calibri"/>
                <w:color w:val="232323"/>
                <w:sz w:val="22"/>
                <w:szCs w:val="22"/>
              </w:rPr>
            </w:pPr>
            <w:r w:rsidRPr="005A34B7">
              <w:rPr>
                <w:rFonts w:ascii="Calibri" w:hAnsi="Calibri" w:cs="Calibri"/>
                <w:color w:val="232323"/>
                <w:sz w:val="22"/>
                <w:szCs w:val="22"/>
              </w:rPr>
              <w:t>119.85</w:t>
            </w:r>
          </w:p>
        </w:tc>
        <w:tc>
          <w:tcPr>
            <w:tcW w:w="817" w:type="dxa"/>
            <w:vAlign w:val="center"/>
          </w:tcPr>
          <w:p w:rsidR="003012C6" w:rsidRPr="005A34B7" w:rsidRDefault="003012C6" w:rsidP="003012C6">
            <w:pPr>
              <w:spacing w:line="276" w:lineRule="auto"/>
              <w:ind w:left="-114" w:right="-91"/>
              <w:jc w:val="center"/>
              <w:rPr>
                <w:rFonts w:ascii="Calibri" w:hAnsi="Calibri" w:cs="Calibri"/>
                <w:color w:val="232323"/>
                <w:sz w:val="22"/>
                <w:szCs w:val="22"/>
              </w:rPr>
            </w:pPr>
            <w:r w:rsidRPr="005A34B7">
              <w:rPr>
                <w:rFonts w:ascii="Calibri" w:hAnsi="Calibri" w:cs="Calibri"/>
                <w:color w:val="232323"/>
                <w:sz w:val="22"/>
                <w:szCs w:val="22"/>
              </w:rPr>
              <w:t>71.03</w:t>
            </w:r>
          </w:p>
        </w:tc>
        <w:tc>
          <w:tcPr>
            <w:tcW w:w="816" w:type="dxa"/>
            <w:vAlign w:val="center"/>
          </w:tcPr>
          <w:p w:rsidR="003012C6" w:rsidRPr="005A34B7" w:rsidRDefault="003012C6" w:rsidP="003012C6">
            <w:pPr>
              <w:spacing w:line="276" w:lineRule="auto"/>
              <w:ind w:left="-114" w:right="-91"/>
              <w:jc w:val="center"/>
              <w:rPr>
                <w:rFonts w:ascii="Calibri" w:hAnsi="Calibri" w:cs="Calibri"/>
                <w:color w:val="232323"/>
                <w:sz w:val="22"/>
                <w:szCs w:val="22"/>
              </w:rPr>
            </w:pPr>
            <w:r w:rsidRPr="005A34B7">
              <w:rPr>
                <w:rFonts w:ascii="Calibri" w:hAnsi="Calibri" w:cs="Calibri"/>
                <w:color w:val="232323"/>
                <w:sz w:val="22"/>
                <w:szCs w:val="22"/>
              </w:rPr>
              <w:t>35.77</w:t>
            </w:r>
          </w:p>
        </w:tc>
        <w:tc>
          <w:tcPr>
            <w:tcW w:w="817" w:type="dxa"/>
            <w:vAlign w:val="center"/>
          </w:tcPr>
          <w:p w:rsidR="003012C6" w:rsidRPr="005A34B7" w:rsidRDefault="003012C6" w:rsidP="003012C6">
            <w:pPr>
              <w:spacing w:line="276" w:lineRule="auto"/>
              <w:ind w:left="-114" w:right="-91"/>
              <w:jc w:val="center"/>
              <w:rPr>
                <w:rFonts w:ascii="Calibri" w:hAnsi="Calibri" w:cs="Calibri"/>
                <w:color w:val="232323"/>
                <w:sz w:val="22"/>
                <w:szCs w:val="22"/>
              </w:rPr>
            </w:pPr>
            <w:r w:rsidRPr="005A34B7">
              <w:rPr>
                <w:rFonts w:ascii="Calibri" w:hAnsi="Calibri" w:cs="Calibri"/>
                <w:color w:val="232323"/>
                <w:sz w:val="22"/>
                <w:szCs w:val="22"/>
              </w:rPr>
              <w:t>106.80</w:t>
            </w:r>
          </w:p>
        </w:tc>
        <w:tc>
          <w:tcPr>
            <w:tcW w:w="816" w:type="dxa"/>
            <w:vAlign w:val="center"/>
          </w:tcPr>
          <w:p w:rsidR="003012C6" w:rsidRPr="005A34B7" w:rsidRDefault="003012C6" w:rsidP="003012C6">
            <w:pPr>
              <w:ind w:left="-114" w:right="-91"/>
              <w:jc w:val="center"/>
              <w:rPr>
                <w:rFonts w:ascii="Calibri" w:hAnsi="Calibri" w:cs="Calibri"/>
                <w:color w:val="232323"/>
                <w:sz w:val="22"/>
                <w:szCs w:val="22"/>
              </w:rPr>
            </w:pPr>
            <w:r w:rsidRPr="005A34B7">
              <w:rPr>
                <w:rFonts w:ascii="Calibri" w:hAnsi="Calibri" w:cs="Calibri"/>
                <w:color w:val="232323"/>
                <w:sz w:val="22"/>
                <w:szCs w:val="22"/>
              </w:rPr>
              <w:t>48.69</w:t>
            </w:r>
          </w:p>
        </w:tc>
        <w:tc>
          <w:tcPr>
            <w:tcW w:w="817" w:type="dxa"/>
            <w:vAlign w:val="center"/>
          </w:tcPr>
          <w:p w:rsidR="003012C6" w:rsidRPr="005A34B7" w:rsidRDefault="003012C6" w:rsidP="003012C6">
            <w:pPr>
              <w:ind w:left="-114" w:right="-91"/>
              <w:jc w:val="center"/>
              <w:rPr>
                <w:rFonts w:ascii="Calibri" w:hAnsi="Calibri" w:cs="Calibri"/>
                <w:color w:val="232323"/>
                <w:sz w:val="22"/>
                <w:szCs w:val="22"/>
              </w:rPr>
            </w:pPr>
            <w:r w:rsidRPr="005A34B7">
              <w:rPr>
                <w:rFonts w:ascii="Calibri" w:hAnsi="Calibri" w:cs="Calibri"/>
                <w:color w:val="232323"/>
                <w:sz w:val="22"/>
                <w:szCs w:val="22"/>
              </w:rPr>
              <w:t>3.39</w:t>
            </w:r>
          </w:p>
        </w:tc>
        <w:tc>
          <w:tcPr>
            <w:tcW w:w="816" w:type="dxa"/>
            <w:vAlign w:val="center"/>
          </w:tcPr>
          <w:p w:rsidR="003012C6" w:rsidRPr="005A34B7" w:rsidRDefault="003012C6" w:rsidP="003012C6">
            <w:pPr>
              <w:ind w:left="-114" w:right="-91"/>
              <w:jc w:val="center"/>
              <w:rPr>
                <w:rFonts w:ascii="Calibri" w:hAnsi="Calibri" w:cs="Calibri"/>
                <w:color w:val="232323"/>
                <w:sz w:val="22"/>
                <w:szCs w:val="22"/>
              </w:rPr>
            </w:pPr>
            <w:r w:rsidRPr="005A34B7">
              <w:rPr>
                <w:rFonts w:ascii="Calibri" w:hAnsi="Calibri" w:cs="Calibri"/>
                <w:color w:val="232323"/>
                <w:sz w:val="22"/>
                <w:szCs w:val="22"/>
              </w:rPr>
              <w:t>52.08</w:t>
            </w:r>
          </w:p>
        </w:tc>
      </w:tr>
      <w:tr w:rsidR="003012C6" w:rsidRPr="005A34B7" w:rsidTr="003012C6">
        <w:trPr>
          <w:trHeight w:val="420"/>
        </w:trPr>
        <w:tc>
          <w:tcPr>
            <w:tcW w:w="1132" w:type="dxa"/>
            <w:shd w:val="clear" w:color="auto" w:fill="BFBFBF"/>
            <w:vAlign w:val="center"/>
          </w:tcPr>
          <w:p w:rsidR="003012C6" w:rsidRPr="005A34B7" w:rsidRDefault="003012C6" w:rsidP="003012C6">
            <w:pPr>
              <w:spacing w:line="276" w:lineRule="auto"/>
              <w:rPr>
                <w:rFonts w:ascii="Calibri" w:hAnsi="Calibri" w:cs="Calibri"/>
                <w:color w:val="232323"/>
                <w:sz w:val="22"/>
                <w:szCs w:val="22"/>
              </w:rPr>
            </w:pPr>
            <w:r w:rsidRPr="005A34B7">
              <w:rPr>
                <w:rFonts w:ascii="Calibri" w:hAnsi="Calibri" w:cs="Calibri"/>
                <w:color w:val="232323"/>
                <w:sz w:val="22"/>
                <w:szCs w:val="22"/>
              </w:rPr>
              <w:t>WESCO</w:t>
            </w:r>
          </w:p>
        </w:tc>
        <w:tc>
          <w:tcPr>
            <w:tcW w:w="817" w:type="dxa"/>
            <w:shd w:val="clear" w:color="auto" w:fill="BFBFBF"/>
            <w:vAlign w:val="center"/>
          </w:tcPr>
          <w:p w:rsidR="003012C6" w:rsidRPr="005A34B7" w:rsidRDefault="003012C6" w:rsidP="003012C6">
            <w:pPr>
              <w:spacing w:line="276" w:lineRule="auto"/>
              <w:ind w:left="-94" w:right="-111"/>
              <w:jc w:val="center"/>
              <w:rPr>
                <w:rFonts w:ascii="Calibri" w:hAnsi="Calibri" w:cs="Calibri"/>
                <w:color w:val="232323"/>
                <w:sz w:val="22"/>
                <w:szCs w:val="22"/>
              </w:rPr>
            </w:pPr>
            <w:r w:rsidRPr="005A34B7">
              <w:rPr>
                <w:rFonts w:ascii="Calibri" w:hAnsi="Calibri" w:cs="Calibri"/>
                <w:color w:val="232323"/>
                <w:sz w:val="22"/>
                <w:szCs w:val="22"/>
              </w:rPr>
              <w:t>121.18</w:t>
            </w:r>
          </w:p>
        </w:tc>
        <w:tc>
          <w:tcPr>
            <w:tcW w:w="816" w:type="dxa"/>
            <w:shd w:val="clear" w:color="auto" w:fill="BFBFBF"/>
            <w:vAlign w:val="center"/>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66.32</w:t>
            </w:r>
          </w:p>
        </w:tc>
        <w:tc>
          <w:tcPr>
            <w:tcW w:w="817" w:type="dxa"/>
            <w:shd w:val="clear" w:color="auto" w:fill="BFBFBF"/>
            <w:vAlign w:val="center"/>
          </w:tcPr>
          <w:p w:rsidR="003012C6" w:rsidRPr="005A34B7" w:rsidRDefault="003012C6" w:rsidP="003012C6">
            <w:pPr>
              <w:spacing w:line="276" w:lineRule="auto"/>
              <w:ind w:left="-114" w:right="-105"/>
              <w:jc w:val="center"/>
              <w:rPr>
                <w:rFonts w:ascii="Calibri" w:hAnsi="Calibri" w:cs="Calibri"/>
                <w:color w:val="232323"/>
                <w:sz w:val="22"/>
                <w:szCs w:val="22"/>
              </w:rPr>
            </w:pPr>
            <w:r w:rsidRPr="005A34B7">
              <w:rPr>
                <w:rFonts w:ascii="Calibri" w:hAnsi="Calibri" w:cs="Calibri"/>
                <w:color w:val="232323"/>
                <w:sz w:val="22"/>
                <w:szCs w:val="22"/>
              </w:rPr>
              <w:t>187.50</w:t>
            </w:r>
          </w:p>
        </w:tc>
        <w:tc>
          <w:tcPr>
            <w:tcW w:w="816" w:type="dxa"/>
            <w:shd w:val="clear" w:color="auto" w:fill="BFBFBF"/>
            <w:vAlign w:val="center"/>
          </w:tcPr>
          <w:p w:rsidR="003012C6" w:rsidRPr="005A34B7" w:rsidRDefault="003012C6" w:rsidP="003012C6">
            <w:pPr>
              <w:spacing w:line="276" w:lineRule="auto"/>
              <w:ind w:left="-114" w:right="-91"/>
              <w:jc w:val="center"/>
              <w:rPr>
                <w:rFonts w:ascii="Calibri" w:hAnsi="Calibri" w:cs="Calibri"/>
                <w:color w:val="232323"/>
                <w:sz w:val="22"/>
                <w:szCs w:val="22"/>
              </w:rPr>
            </w:pPr>
            <w:r w:rsidRPr="005A34B7">
              <w:rPr>
                <w:rFonts w:ascii="Calibri" w:hAnsi="Calibri" w:cs="Calibri"/>
                <w:color w:val="232323"/>
                <w:sz w:val="22"/>
                <w:szCs w:val="22"/>
              </w:rPr>
              <w:t>116.59</w:t>
            </w:r>
          </w:p>
        </w:tc>
        <w:tc>
          <w:tcPr>
            <w:tcW w:w="954" w:type="dxa"/>
            <w:shd w:val="clear" w:color="auto" w:fill="BFBFBF"/>
            <w:vAlign w:val="center"/>
          </w:tcPr>
          <w:p w:rsidR="003012C6" w:rsidRPr="005A34B7" w:rsidRDefault="003012C6" w:rsidP="003012C6">
            <w:pPr>
              <w:spacing w:line="276" w:lineRule="auto"/>
              <w:ind w:left="-114" w:right="-91"/>
              <w:jc w:val="center"/>
              <w:rPr>
                <w:rFonts w:ascii="Calibri" w:hAnsi="Calibri" w:cs="Calibri"/>
                <w:color w:val="232323"/>
                <w:sz w:val="22"/>
                <w:szCs w:val="22"/>
              </w:rPr>
            </w:pPr>
            <w:r w:rsidRPr="005A34B7">
              <w:rPr>
                <w:rFonts w:ascii="Calibri" w:hAnsi="Calibri" w:cs="Calibri"/>
                <w:color w:val="232323"/>
                <w:sz w:val="22"/>
                <w:szCs w:val="22"/>
              </w:rPr>
              <w:t>66.23</w:t>
            </w:r>
          </w:p>
        </w:tc>
        <w:tc>
          <w:tcPr>
            <w:tcW w:w="816" w:type="dxa"/>
            <w:shd w:val="clear" w:color="auto" w:fill="BFBFBF"/>
            <w:vAlign w:val="center"/>
          </w:tcPr>
          <w:p w:rsidR="003012C6" w:rsidRPr="005A34B7" w:rsidRDefault="003012C6" w:rsidP="003012C6">
            <w:pPr>
              <w:spacing w:line="276" w:lineRule="auto"/>
              <w:ind w:left="-114" w:right="-91"/>
              <w:jc w:val="center"/>
              <w:rPr>
                <w:rFonts w:ascii="Calibri" w:hAnsi="Calibri" w:cs="Calibri"/>
                <w:color w:val="232323"/>
                <w:sz w:val="22"/>
                <w:szCs w:val="22"/>
              </w:rPr>
            </w:pPr>
            <w:r w:rsidRPr="005A34B7">
              <w:rPr>
                <w:rFonts w:ascii="Calibri" w:hAnsi="Calibri" w:cs="Calibri"/>
                <w:color w:val="232323"/>
                <w:sz w:val="22"/>
                <w:szCs w:val="22"/>
              </w:rPr>
              <w:t>182.82</w:t>
            </w:r>
          </w:p>
        </w:tc>
        <w:tc>
          <w:tcPr>
            <w:tcW w:w="817" w:type="dxa"/>
            <w:shd w:val="clear" w:color="auto" w:fill="BFBFBF"/>
            <w:vAlign w:val="center"/>
          </w:tcPr>
          <w:p w:rsidR="003012C6" w:rsidRPr="005A34B7" w:rsidRDefault="003012C6" w:rsidP="003012C6">
            <w:pPr>
              <w:spacing w:line="276" w:lineRule="auto"/>
              <w:ind w:left="-114" w:right="-91"/>
              <w:jc w:val="center"/>
              <w:rPr>
                <w:rFonts w:ascii="Calibri" w:hAnsi="Calibri" w:cs="Calibri"/>
                <w:color w:val="232323"/>
                <w:sz w:val="22"/>
                <w:szCs w:val="22"/>
              </w:rPr>
            </w:pPr>
            <w:r w:rsidRPr="005A34B7">
              <w:rPr>
                <w:rFonts w:ascii="Calibri" w:hAnsi="Calibri" w:cs="Calibri"/>
                <w:color w:val="232323"/>
                <w:sz w:val="22"/>
                <w:szCs w:val="22"/>
              </w:rPr>
              <w:t>66.85</w:t>
            </w:r>
          </w:p>
        </w:tc>
        <w:tc>
          <w:tcPr>
            <w:tcW w:w="816" w:type="dxa"/>
            <w:shd w:val="clear" w:color="auto" w:fill="BFBFBF"/>
            <w:vAlign w:val="center"/>
          </w:tcPr>
          <w:p w:rsidR="003012C6" w:rsidRPr="005A34B7" w:rsidRDefault="003012C6" w:rsidP="003012C6">
            <w:pPr>
              <w:spacing w:line="276" w:lineRule="auto"/>
              <w:ind w:left="-114" w:right="-91"/>
              <w:jc w:val="center"/>
              <w:rPr>
                <w:rFonts w:ascii="Calibri" w:hAnsi="Calibri" w:cs="Calibri"/>
                <w:color w:val="232323"/>
                <w:sz w:val="22"/>
                <w:szCs w:val="22"/>
              </w:rPr>
            </w:pPr>
            <w:r w:rsidRPr="005A34B7">
              <w:rPr>
                <w:rFonts w:ascii="Calibri" w:hAnsi="Calibri" w:cs="Calibri"/>
                <w:color w:val="232323"/>
                <w:sz w:val="22"/>
                <w:szCs w:val="22"/>
              </w:rPr>
              <w:t>66.23</w:t>
            </w:r>
          </w:p>
        </w:tc>
        <w:tc>
          <w:tcPr>
            <w:tcW w:w="817" w:type="dxa"/>
            <w:shd w:val="clear" w:color="auto" w:fill="BFBFBF"/>
            <w:vAlign w:val="center"/>
          </w:tcPr>
          <w:p w:rsidR="003012C6" w:rsidRPr="005A34B7" w:rsidRDefault="003012C6" w:rsidP="003012C6">
            <w:pPr>
              <w:spacing w:line="276" w:lineRule="auto"/>
              <w:ind w:left="-114" w:right="-91"/>
              <w:jc w:val="center"/>
              <w:rPr>
                <w:rFonts w:ascii="Calibri" w:hAnsi="Calibri" w:cs="Calibri"/>
                <w:color w:val="232323"/>
                <w:sz w:val="22"/>
                <w:szCs w:val="22"/>
              </w:rPr>
            </w:pPr>
            <w:r w:rsidRPr="005A34B7">
              <w:rPr>
                <w:rFonts w:ascii="Calibri" w:hAnsi="Calibri" w:cs="Calibri"/>
                <w:color w:val="232323"/>
                <w:sz w:val="22"/>
                <w:szCs w:val="22"/>
              </w:rPr>
              <w:t>133.08</w:t>
            </w:r>
          </w:p>
        </w:tc>
        <w:tc>
          <w:tcPr>
            <w:tcW w:w="816" w:type="dxa"/>
            <w:shd w:val="clear" w:color="auto" w:fill="BFBFBF"/>
            <w:vAlign w:val="center"/>
          </w:tcPr>
          <w:p w:rsidR="003012C6" w:rsidRPr="005A34B7" w:rsidRDefault="003012C6" w:rsidP="003012C6">
            <w:pPr>
              <w:ind w:left="-114" w:right="-91"/>
              <w:jc w:val="center"/>
              <w:rPr>
                <w:rFonts w:ascii="Calibri" w:hAnsi="Calibri" w:cs="Calibri"/>
                <w:color w:val="232323"/>
                <w:sz w:val="22"/>
                <w:szCs w:val="22"/>
              </w:rPr>
            </w:pPr>
            <w:r w:rsidRPr="005A34B7">
              <w:rPr>
                <w:rFonts w:ascii="Calibri" w:hAnsi="Calibri" w:cs="Calibri"/>
                <w:color w:val="232323"/>
                <w:sz w:val="22"/>
                <w:szCs w:val="22"/>
              </w:rPr>
              <w:t>55.94</w:t>
            </w:r>
          </w:p>
        </w:tc>
        <w:tc>
          <w:tcPr>
            <w:tcW w:w="817" w:type="dxa"/>
            <w:shd w:val="clear" w:color="auto" w:fill="BFBFBF"/>
            <w:vAlign w:val="center"/>
          </w:tcPr>
          <w:p w:rsidR="003012C6" w:rsidRPr="005A34B7" w:rsidRDefault="003012C6" w:rsidP="003012C6">
            <w:pPr>
              <w:ind w:left="-114" w:right="-91"/>
              <w:jc w:val="center"/>
              <w:rPr>
                <w:rFonts w:ascii="Calibri" w:hAnsi="Calibri" w:cs="Calibri"/>
                <w:color w:val="232323"/>
                <w:sz w:val="22"/>
                <w:szCs w:val="22"/>
              </w:rPr>
            </w:pPr>
            <w:r w:rsidRPr="005A34B7">
              <w:rPr>
                <w:rFonts w:ascii="Calibri" w:hAnsi="Calibri" w:cs="Calibri"/>
                <w:color w:val="232323"/>
                <w:sz w:val="22"/>
                <w:szCs w:val="22"/>
              </w:rPr>
              <w:t>4.21</w:t>
            </w:r>
          </w:p>
        </w:tc>
        <w:tc>
          <w:tcPr>
            <w:tcW w:w="816" w:type="dxa"/>
            <w:shd w:val="clear" w:color="auto" w:fill="BFBFBF"/>
            <w:vAlign w:val="center"/>
          </w:tcPr>
          <w:p w:rsidR="003012C6" w:rsidRPr="005A34B7" w:rsidRDefault="003012C6" w:rsidP="003012C6">
            <w:pPr>
              <w:ind w:left="-114" w:right="-91"/>
              <w:jc w:val="center"/>
              <w:rPr>
                <w:rFonts w:ascii="Calibri" w:hAnsi="Calibri" w:cs="Calibri"/>
                <w:color w:val="232323"/>
                <w:sz w:val="22"/>
                <w:szCs w:val="22"/>
              </w:rPr>
            </w:pPr>
            <w:r w:rsidRPr="005A34B7">
              <w:rPr>
                <w:rFonts w:ascii="Calibri" w:hAnsi="Calibri" w:cs="Calibri"/>
                <w:color w:val="232323"/>
                <w:sz w:val="22"/>
                <w:szCs w:val="22"/>
              </w:rPr>
              <w:t>60.15</w:t>
            </w:r>
          </w:p>
        </w:tc>
      </w:tr>
      <w:tr w:rsidR="003012C6" w:rsidRPr="005A34B7" w:rsidTr="003012C6">
        <w:trPr>
          <w:trHeight w:val="396"/>
        </w:trPr>
        <w:tc>
          <w:tcPr>
            <w:tcW w:w="1132" w:type="dxa"/>
            <w:vAlign w:val="center"/>
          </w:tcPr>
          <w:p w:rsidR="003012C6" w:rsidRPr="005A34B7" w:rsidRDefault="003012C6" w:rsidP="003012C6">
            <w:pPr>
              <w:spacing w:line="276" w:lineRule="auto"/>
              <w:rPr>
                <w:rFonts w:ascii="Calibri" w:hAnsi="Calibri" w:cs="Calibri"/>
                <w:color w:val="232323"/>
                <w:sz w:val="22"/>
                <w:szCs w:val="22"/>
              </w:rPr>
            </w:pPr>
            <w:r w:rsidRPr="005A34B7">
              <w:rPr>
                <w:rFonts w:ascii="Calibri" w:hAnsi="Calibri" w:cs="Calibri"/>
                <w:color w:val="232323"/>
                <w:sz w:val="22"/>
                <w:szCs w:val="22"/>
              </w:rPr>
              <w:t>NESCO</w:t>
            </w:r>
          </w:p>
        </w:tc>
        <w:tc>
          <w:tcPr>
            <w:tcW w:w="817" w:type="dxa"/>
            <w:vAlign w:val="center"/>
          </w:tcPr>
          <w:p w:rsidR="003012C6" w:rsidRPr="005A34B7" w:rsidRDefault="003012C6" w:rsidP="003012C6">
            <w:pPr>
              <w:spacing w:line="276" w:lineRule="auto"/>
              <w:ind w:left="-108" w:right="-139"/>
              <w:jc w:val="center"/>
              <w:rPr>
                <w:rFonts w:ascii="Calibri" w:hAnsi="Calibri" w:cs="Calibri"/>
                <w:color w:val="232323"/>
                <w:sz w:val="22"/>
                <w:szCs w:val="22"/>
              </w:rPr>
            </w:pPr>
            <w:r w:rsidRPr="005A34B7">
              <w:rPr>
                <w:rFonts w:ascii="Calibri" w:hAnsi="Calibri" w:cs="Calibri"/>
                <w:color w:val="232323"/>
                <w:sz w:val="22"/>
                <w:szCs w:val="22"/>
              </w:rPr>
              <w:t>133.97</w:t>
            </w:r>
          </w:p>
        </w:tc>
        <w:tc>
          <w:tcPr>
            <w:tcW w:w="816" w:type="dxa"/>
            <w:vAlign w:val="center"/>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67.80</w:t>
            </w:r>
          </w:p>
        </w:tc>
        <w:tc>
          <w:tcPr>
            <w:tcW w:w="817" w:type="dxa"/>
            <w:vAlign w:val="center"/>
          </w:tcPr>
          <w:p w:rsidR="003012C6" w:rsidRPr="005A34B7" w:rsidRDefault="003012C6" w:rsidP="003012C6">
            <w:pPr>
              <w:spacing w:line="276" w:lineRule="auto"/>
              <w:ind w:left="-114" w:right="-105"/>
              <w:jc w:val="center"/>
              <w:rPr>
                <w:rFonts w:ascii="Calibri" w:hAnsi="Calibri" w:cs="Calibri"/>
                <w:color w:val="232323"/>
                <w:sz w:val="22"/>
                <w:szCs w:val="22"/>
              </w:rPr>
            </w:pPr>
            <w:r w:rsidRPr="005A34B7">
              <w:rPr>
                <w:rFonts w:ascii="Calibri" w:hAnsi="Calibri" w:cs="Calibri"/>
                <w:color w:val="232323"/>
                <w:sz w:val="22"/>
                <w:szCs w:val="22"/>
              </w:rPr>
              <w:t>201.77</w:t>
            </w:r>
          </w:p>
        </w:tc>
        <w:tc>
          <w:tcPr>
            <w:tcW w:w="816" w:type="dxa"/>
            <w:vAlign w:val="center"/>
          </w:tcPr>
          <w:p w:rsidR="003012C6" w:rsidRPr="005A34B7" w:rsidRDefault="003012C6" w:rsidP="003012C6">
            <w:pPr>
              <w:spacing w:line="276" w:lineRule="auto"/>
              <w:ind w:left="-114" w:right="-91"/>
              <w:jc w:val="center"/>
              <w:rPr>
                <w:rFonts w:ascii="Calibri" w:hAnsi="Calibri" w:cs="Calibri"/>
                <w:color w:val="232323"/>
                <w:sz w:val="22"/>
                <w:szCs w:val="22"/>
              </w:rPr>
            </w:pPr>
            <w:r w:rsidRPr="005A34B7">
              <w:rPr>
                <w:rFonts w:ascii="Calibri" w:hAnsi="Calibri" w:cs="Calibri"/>
                <w:color w:val="232323"/>
                <w:sz w:val="22"/>
                <w:szCs w:val="22"/>
              </w:rPr>
              <w:t>115.24</w:t>
            </w:r>
          </w:p>
        </w:tc>
        <w:tc>
          <w:tcPr>
            <w:tcW w:w="954" w:type="dxa"/>
            <w:vAlign w:val="center"/>
          </w:tcPr>
          <w:p w:rsidR="003012C6" w:rsidRPr="005A34B7" w:rsidRDefault="003012C6" w:rsidP="003012C6">
            <w:pPr>
              <w:spacing w:line="276" w:lineRule="auto"/>
              <w:ind w:left="-114" w:right="-91"/>
              <w:jc w:val="center"/>
              <w:rPr>
                <w:rFonts w:ascii="Calibri" w:hAnsi="Calibri" w:cs="Calibri"/>
                <w:color w:val="232323"/>
                <w:sz w:val="22"/>
                <w:szCs w:val="22"/>
              </w:rPr>
            </w:pPr>
            <w:r w:rsidRPr="005A34B7">
              <w:rPr>
                <w:rFonts w:ascii="Calibri" w:hAnsi="Calibri" w:cs="Calibri"/>
                <w:color w:val="232323"/>
                <w:sz w:val="22"/>
                <w:szCs w:val="22"/>
              </w:rPr>
              <w:t>66.75</w:t>
            </w:r>
          </w:p>
        </w:tc>
        <w:tc>
          <w:tcPr>
            <w:tcW w:w="816" w:type="dxa"/>
            <w:vAlign w:val="center"/>
          </w:tcPr>
          <w:p w:rsidR="003012C6" w:rsidRPr="005A34B7" w:rsidRDefault="003012C6" w:rsidP="003012C6">
            <w:pPr>
              <w:spacing w:line="276" w:lineRule="auto"/>
              <w:ind w:left="-114" w:right="-91"/>
              <w:jc w:val="center"/>
              <w:rPr>
                <w:rFonts w:ascii="Calibri" w:hAnsi="Calibri" w:cs="Calibri"/>
                <w:color w:val="232323"/>
                <w:sz w:val="22"/>
                <w:szCs w:val="22"/>
              </w:rPr>
            </w:pPr>
            <w:r w:rsidRPr="005A34B7">
              <w:rPr>
                <w:rFonts w:ascii="Calibri" w:hAnsi="Calibri" w:cs="Calibri"/>
                <w:color w:val="232323"/>
                <w:sz w:val="22"/>
                <w:szCs w:val="22"/>
              </w:rPr>
              <w:t>181.99</w:t>
            </w:r>
          </w:p>
        </w:tc>
        <w:tc>
          <w:tcPr>
            <w:tcW w:w="817" w:type="dxa"/>
            <w:vAlign w:val="center"/>
          </w:tcPr>
          <w:p w:rsidR="003012C6" w:rsidRPr="005A34B7" w:rsidRDefault="003012C6" w:rsidP="003012C6">
            <w:pPr>
              <w:spacing w:line="276" w:lineRule="auto"/>
              <w:ind w:left="-114" w:right="-91"/>
              <w:jc w:val="center"/>
              <w:rPr>
                <w:rFonts w:ascii="Calibri" w:hAnsi="Calibri" w:cs="Calibri"/>
                <w:color w:val="232323"/>
                <w:sz w:val="22"/>
                <w:szCs w:val="22"/>
              </w:rPr>
            </w:pPr>
            <w:r w:rsidRPr="005A34B7">
              <w:rPr>
                <w:rFonts w:ascii="Calibri" w:hAnsi="Calibri" w:cs="Calibri"/>
                <w:color w:val="232323"/>
                <w:sz w:val="22"/>
                <w:szCs w:val="22"/>
              </w:rPr>
              <w:t>74.23</w:t>
            </w:r>
          </w:p>
        </w:tc>
        <w:tc>
          <w:tcPr>
            <w:tcW w:w="816" w:type="dxa"/>
            <w:vAlign w:val="center"/>
          </w:tcPr>
          <w:p w:rsidR="003012C6" w:rsidRPr="005A34B7" w:rsidRDefault="003012C6" w:rsidP="003012C6">
            <w:pPr>
              <w:spacing w:line="276" w:lineRule="auto"/>
              <w:ind w:left="-114" w:right="-91"/>
              <w:jc w:val="center"/>
              <w:rPr>
                <w:rFonts w:ascii="Calibri" w:hAnsi="Calibri" w:cs="Calibri"/>
                <w:color w:val="232323"/>
                <w:sz w:val="22"/>
                <w:szCs w:val="22"/>
              </w:rPr>
            </w:pPr>
            <w:r w:rsidRPr="005A34B7">
              <w:rPr>
                <w:rFonts w:ascii="Calibri" w:hAnsi="Calibri" w:cs="Calibri"/>
                <w:color w:val="232323"/>
                <w:sz w:val="22"/>
                <w:szCs w:val="22"/>
              </w:rPr>
              <w:t>60.99</w:t>
            </w:r>
          </w:p>
        </w:tc>
        <w:tc>
          <w:tcPr>
            <w:tcW w:w="817" w:type="dxa"/>
            <w:vAlign w:val="center"/>
          </w:tcPr>
          <w:p w:rsidR="003012C6" w:rsidRPr="005A34B7" w:rsidRDefault="003012C6" w:rsidP="003012C6">
            <w:pPr>
              <w:spacing w:line="276" w:lineRule="auto"/>
              <w:ind w:left="-114" w:right="-91"/>
              <w:jc w:val="center"/>
              <w:rPr>
                <w:rFonts w:ascii="Calibri" w:hAnsi="Calibri" w:cs="Calibri"/>
                <w:color w:val="232323"/>
                <w:sz w:val="22"/>
                <w:szCs w:val="22"/>
              </w:rPr>
            </w:pPr>
            <w:r w:rsidRPr="005A34B7">
              <w:rPr>
                <w:rFonts w:ascii="Calibri" w:hAnsi="Calibri" w:cs="Calibri"/>
                <w:color w:val="232323"/>
                <w:sz w:val="22"/>
                <w:szCs w:val="22"/>
              </w:rPr>
              <w:t>135.22</w:t>
            </w:r>
          </w:p>
        </w:tc>
        <w:tc>
          <w:tcPr>
            <w:tcW w:w="816" w:type="dxa"/>
            <w:vAlign w:val="center"/>
          </w:tcPr>
          <w:p w:rsidR="003012C6" w:rsidRPr="005A34B7" w:rsidRDefault="003012C6" w:rsidP="003012C6">
            <w:pPr>
              <w:ind w:left="-114" w:right="-91"/>
              <w:jc w:val="center"/>
              <w:rPr>
                <w:rFonts w:ascii="Calibri" w:hAnsi="Calibri" w:cs="Calibri"/>
                <w:color w:val="232323"/>
                <w:sz w:val="22"/>
                <w:szCs w:val="22"/>
              </w:rPr>
            </w:pPr>
            <w:r w:rsidRPr="005A34B7">
              <w:rPr>
                <w:rFonts w:ascii="Calibri" w:hAnsi="Calibri" w:cs="Calibri"/>
                <w:color w:val="232323"/>
                <w:sz w:val="22"/>
                <w:szCs w:val="22"/>
              </w:rPr>
              <w:t>68.09</w:t>
            </w:r>
          </w:p>
        </w:tc>
        <w:tc>
          <w:tcPr>
            <w:tcW w:w="817" w:type="dxa"/>
            <w:vAlign w:val="center"/>
          </w:tcPr>
          <w:p w:rsidR="003012C6" w:rsidRPr="005A34B7" w:rsidRDefault="003012C6" w:rsidP="003012C6">
            <w:pPr>
              <w:ind w:left="-114" w:right="-91"/>
              <w:jc w:val="center"/>
              <w:rPr>
                <w:rFonts w:ascii="Calibri" w:hAnsi="Calibri" w:cs="Calibri"/>
                <w:color w:val="232323"/>
                <w:sz w:val="22"/>
                <w:szCs w:val="22"/>
              </w:rPr>
            </w:pPr>
            <w:r w:rsidRPr="005A34B7">
              <w:rPr>
                <w:rFonts w:ascii="Calibri" w:hAnsi="Calibri" w:cs="Calibri"/>
                <w:color w:val="232323"/>
                <w:sz w:val="22"/>
                <w:szCs w:val="22"/>
              </w:rPr>
              <w:t>6.16</w:t>
            </w:r>
          </w:p>
        </w:tc>
        <w:tc>
          <w:tcPr>
            <w:tcW w:w="816" w:type="dxa"/>
            <w:vAlign w:val="center"/>
          </w:tcPr>
          <w:p w:rsidR="003012C6" w:rsidRPr="005A34B7" w:rsidRDefault="003012C6" w:rsidP="003012C6">
            <w:pPr>
              <w:ind w:left="-114" w:right="-91"/>
              <w:jc w:val="center"/>
              <w:rPr>
                <w:rFonts w:ascii="Calibri" w:hAnsi="Calibri" w:cs="Calibri"/>
                <w:color w:val="232323"/>
                <w:sz w:val="22"/>
                <w:szCs w:val="22"/>
              </w:rPr>
            </w:pPr>
            <w:r w:rsidRPr="005A34B7">
              <w:rPr>
                <w:rFonts w:ascii="Calibri" w:hAnsi="Calibri" w:cs="Calibri"/>
                <w:color w:val="232323"/>
                <w:sz w:val="22"/>
                <w:szCs w:val="22"/>
              </w:rPr>
              <w:t>74.25</w:t>
            </w:r>
          </w:p>
        </w:tc>
      </w:tr>
      <w:tr w:rsidR="003012C6" w:rsidRPr="005A34B7" w:rsidTr="003012C6">
        <w:trPr>
          <w:trHeight w:val="420"/>
        </w:trPr>
        <w:tc>
          <w:tcPr>
            <w:tcW w:w="1132" w:type="dxa"/>
            <w:shd w:val="clear" w:color="auto" w:fill="BFBFBF"/>
            <w:vAlign w:val="center"/>
          </w:tcPr>
          <w:p w:rsidR="003012C6" w:rsidRPr="005A34B7" w:rsidRDefault="003012C6" w:rsidP="003012C6">
            <w:pPr>
              <w:spacing w:line="276" w:lineRule="auto"/>
              <w:rPr>
                <w:rFonts w:ascii="Calibri" w:hAnsi="Calibri" w:cs="Calibri"/>
                <w:b/>
                <w:color w:val="232323"/>
                <w:sz w:val="22"/>
                <w:szCs w:val="22"/>
              </w:rPr>
            </w:pPr>
            <w:r w:rsidRPr="005A34B7">
              <w:rPr>
                <w:rFonts w:ascii="Calibri" w:hAnsi="Calibri" w:cs="Calibri"/>
                <w:b/>
                <w:color w:val="232323"/>
                <w:sz w:val="22"/>
                <w:szCs w:val="22"/>
              </w:rPr>
              <w:t>TOTAL</w:t>
            </w:r>
          </w:p>
        </w:tc>
        <w:tc>
          <w:tcPr>
            <w:tcW w:w="817" w:type="dxa"/>
            <w:shd w:val="clear" w:color="auto" w:fill="BFBFBF"/>
            <w:vAlign w:val="center"/>
          </w:tcPr>
          <w:p w:rsidR="003012C6" w:rsidRPr="005A34B7" w:rsidRDefault="00291770" w:rsidP="003012C6">
            <w:pPr>
              <w:spacing w:line="276" w:lineRule="auto"/>
              <w:ind w:left="-122" w:right="-111"/>
              <w:jc w:val="center"/>
              <w:rPr>
                <w:rFonts w:ascii="Calibri" w:hAnsi="Calibri" w:cs="Calibri"/>
                <w:b/>
                <w:color w:val="232323"/>
                <w:sz w:val="22"/>
                <w:szCs w:val="22"/>
              </w:rPr>
            </w:pPr>
            <w:r w:rsidRPr="005A34B7">
              <w:rPr>
                <w:rFonts w:ascii="Calibri" w:hAnsi="Calibri" w:cs="Calibri"/>
                <w:b/>
                <w:color w:val="232323"/>
                <w:sz w:val="22"/>
                <w:szCs w:val="22"/>
              </w:rPr>
              <w:fldChar w:fldCharType="begin"/>
            </w:r>
            <w:r w:rsidR="003012C6" w:rsidRPr="005A34B7">
              <w:rPr>
                <w:rFonts w:ascii="Calibri" w:hAnsi="Calibri" w:cs="Calibri"/>
                <w:b/>
                <w:color w:val="232323"/>
                <w:sz w:val="22"/>
                <w:szCs w:val="22"/>
              </w:rPr>
              <w:instrText xml:space="preserve"> =SUM(ABOVE) </w:instrText>
            </w:r>
            <w:r w:rsidRPr="005A34B7">
              <w:rPr>
                <w:rFonts w:ascii="Calibri" w:hAnsi="Calibri" w:cs="Calibri"/>
                <w:b/>
                <w:color w:val="232323"/>
                <w:sz w:val="22"/>
                <w:szCs w:val="22"/>
              </w:rPr>
              <w:fldChar w:fldCharType="separate"/>
            </w:r>
            <w:r w:rsidR="003012C6" w:rsidRPr="005A34B7">
              <w:rPr>
                <w:rFonts w:ascii="Calibri" w:hAnsi="Calibri" w:cs="Calibri"/>
                <w:b/>
                <w:noProof/>
                <w:color w:val="232323"/>
                <w:sz w:val="22"/>
                <w:szCs w:val="22"/>
              </w:rPr>
              <w:t>397.07</w:t>
            </w:r>
            <w:r w:rsidRPr="005A34B7">
              <w:rPr>
                <w:rFonts w:ascii="Calibri" w:hAnsi="Calibri" w:cs="Calibri"/>
                <w:b/>
                <w:color w:val="232323"/>
                <w:sz w:val="22"/>
                <w:szCs w:val="22"/>
              </w:rPr>
              <w:fldChar w:fldCharType="end"/>
            </w:r>
          </w:p>
        </w:tc>
        <w:tc>
          <w:tcPr>
            <w:tcW w:w="816" w:type="dxa"/>
            <w:shd w:val="clear" w:color="auto" w:fill="BFBFBF"/>
            <w:vAlign w:val="center"/>
          </w:tcPr>
          <w:p w:rsidR="003012C6" w:rsidRPr="005A34B7" w:rsidRDefault="00291770" w:rsidP="003012C6">
            <w:pPr>
              <w:spacing w:line="276" w:lineRule="auto"/>
              <w:ind w:left="-105" w:right="-115"/>
              <w:jc w:val="center"/>
              <w:rPr>
                <w:rFonts w:ascii="Calibri" w:hAnsi="Calibri" w:cs="Calibri"/>
                <w:b/>
                <w:color w:val="232323"/>
                <w:sz w:val="22"/>
                <w:szCs w:val="22"/>
              </w:rPr>
            </w:pPr>
            <w:r w:rsidRPr="005A34B7">
              <w:rPr>
                <w:rFonts w:ascii="Calibri" w:hAnsi="Calibri" w:cs="Calibri"/>
                <w:b/>
                <w:color w:val="232323"/>
                <w:sz w:val="22"/>
                <w:szCs w:val="22"/>
              </w:rPr>
              <w:fldChar w:fldCharType="begin"/>
            </w:r>
            <w:r w:rsidR="003012C6" w:rsidRPr="005A34B7">
              <w:rPr>
                <w:rFonts w:ascii="Calibri" w:hAnsi="Calibri" w:cs="Calibri"/>
                <w:b/>
                <w:color w:val="232323"/>
                <w:sz w:val="22"/>
                <w:szCs w:val="22"/>
              </w:rPr>
              <w:instrText xml:space="preserve"> =SUM(ABOVE) </w:instrText>
            </w:r>
            <w:r w:rsidRPr="005A34B7">
              <w:rPr>
                <w:rFonts w:ascii="Calibri" w:hAnsi="Calibri" w:cs="Calibri"/>
                <w:b/>
                <w:color w:val="232323"/>
                <w:sz w:val="22"/>
                <w:szCs w:val="22"/>
              </w:rPr>
              <w:fldChar w:fldCharType="separate"/>
            </w:r>
            <w:r w:rsidR="003012C6" w:rsidRPr="005A34B7">
              <w:rPr>
                <w:rFonts w:ascii="Calibri" w:hAnsi="Calibri" w:cs="Calibri"/>
                <w:b/>
                <w:noProof/>
                <w:color w:val="232323"/>
                <w:sz w:val="22"/>
                <w:szCs w:val="22"/>
              </w:rPr>
              <w:t>189.17</w:t>
            </w:r>
            <w:r w:rsidRPr="005A34B7">
              <w:rPr>
                <w:rFonts w:ascii="Calibri" w:hAnsi="Calibri" w:cs="Calibri"/>
                <w:b/>
                <w:color w:val="232323"/>
                <w:sz w:val="22"/>
                <w:szCs w:val="22"/>
              </w:rPr>
              <w:fldChar w:fldCharType="end"/>
            </w:r>
          </w:p>
        </w:tc>
        <w:tc>
          <w:tcPr>
            <w:tcW w:w="817" w:type="dxa"/>
            <w:shd w:val="clear" w:color="auto" w:fill="BFBFBF"/>
            <w:vAlign w:val="center"/>
          </w:tcPr>
          <w:p w:rsidR="003012C6" w:rsidRPr="005A34B7" w:rsidRDefault="00291770" w:rsidP="003012C6">
            <w:pPr>
              <w:spacing w:line="276" w:lineRule="auto"/>
              <w:ind w:left="-114" w:right="-105"/>
              <w:jc w:val="center"/>
              <w:rPr>
                <w:rFonts w:ascii="Calibri" w:hAnsi="Calibri" w:cs="Calibri"/>
                <w:b/>
                <w:color w:val="232323"/>
                <w:sz w:val="22"/>
                <w:szCs w:val="22"/>
              </w:rPr>
            </w:pPr>
            <w:r w:rsidRPr="005A34B7">
              <w:rPr>
                <w:rFonts w:ascii="Calibri" w:hAnsi="Calibri" w:cs="Calibri"/>
                <w:b/>
                <w:color w:val="232323"/>
                <w:sz w:val="22"/>
                <w:szCs w:val="22"/>
              </w:rPr>
              <w:fldChar w:fldCharType="begin"/>
            </w:r>
            <w:r w:rsidR="003012C6" w:rsidRPr="005A34B7">
              <w:rPr>
                <w:rFonts w:ascii="Calibri" w:hAnsi="Calibri" w:cs="Calibri"/>
                <w:b/>
                <w:color w:val="232323"/>
                <w:sz w:val="22"/>
                <w:szCs w:val="22"/>
              </w:rPr>
              <w:instrText xml:space="preserve"> =SUM(ABOVE) </w:instrText>
            </w:r>
            <w:r w:rsidRPr="005A34B7">
              <w:rPr>
                <w:rFonts w:ascii="Calibri" w:hAnsi="Calibri" w:cs="Calibri"/>
                <w:b/>
                <w:color w:val="232323"/>
                <w:sz w:val="22"/>
                <w:szCs w:val="22"/>
              </w:rPr>
              <w:fldChar w:fldCharType="separate"/>
            </w:r>
            <w:r w:rsidR="003012C6" w:rsidRPr="005A34B7">
              <w:rPr>
                <w:rFonts w:ascii="Calibri" w:hAnsi="Calibri" w:cs="Calibri"/>
                <w:b/>
                <w:noProof/>
                <w:color w:val="232323"/>
                <w:sz w:val="22"/>
                <w:szCs w:val="22"/>
              </w:rPr>
              <w:t>586.24</w:t>
            </w:r>
            <w:r w:rsidRPr="005A34B7">
              <w:rPr>
                <w:rFonts w:ascii="Calibri" w:hAnsi="Calibri" w:cs="Calibri"/>
                <w:b/>
                <w:color w:val="232323"/>
                <w:sz w:val="22"/>
                <w:szCs w:val="22"/>
              </w:rPr>
              <w:fldChar w:fldCharType="end"/>
            </w:r>
          </w:p>
        </w:tc>
        <w:tc>
          <w:tcPr>
            <w:tcW w:w="816" w:type="dxa"/>
            <w:shd w:val="clear" w:color="auto" w:fill="BFBFBF"/>
            <w:vAlign w:val="center"/>
          </w:tcPr>
          <w:p w:rsidR="003012C6" w:rsidRPr="005A34B7" w:rsidRDefault="003012C6" w:rsidP="003012C6">
            <w:pPr>
              <w:spacing w:line="276" w:lineRule="auto"/>
              <w:ind w:left="-114" w:right="-91"/>
              <w:jc w:val="center"/>
              <w:rPr>
                <w:rFonts w:ascii="Calibri" w:hAnsi="Calibri" w:cs="Calibri"/>
                <w:b/>
                <w:color w:val="232323"/>
                <w:sz w:val="22"/>
                <w:szCs w:val="22"/>
              </w:rPr>
            </w:pPr>
            <w:r w:rsidRPr="005A34B7">
              <w:rPr>
                <w:rFonts w:ascii="Calibri" w:hAnsi="Calibri" w:cs="Calibri"/>
                <w:b/>
                <w:color w:val="232323"/>
                <w:sz w:val="22"/>
                <w:szCs w:val="22"/>
              </w:rPr>
              <w:t>302.86</w:t>
            </w:r>
          </w:p>
        </w:tc>
        <w:tc>
          <w:tcPr>
            <w:tcW w:w="954" w:type="dxa"/>
            <w:shd w:val="clear" w:color="auto" w:fill="BFBFBF"/>
            <w:vAlign w:val="center"/>
          </w:tcPr>
          <w:p w:rsidR="003012C6" w:rsidRPr="005A34B7" w:rsidRDefault="003012C6" w:rsidP="003012C6">
            <w:pPr>
              <w:spacing w:line="276" w:lineRule="auto"/>
              <w:ind w:left="-114" w:right="-91"/>
              <w:jc w:val="center"/>
              <w:rPr>
                <w:rFonts w:ascii="Calibri" w:hAnsi="Calibri" w:cs="Calibri"/>
                <w:b/>
                <w:color w:val="232323"/>
                <w:sz w:val="22"/>
                <w:szCs w:val="22"/>
              </w:rPr>
            </w:pPr>
            <w:r w:rsidRPr="005A34B7">
              <w:rPr>
                <w:rFonts w:ascii="Calibri" w:hAnsi="Calibri" w:cs="Calibri"/>
                <w:b/>
                <w:color w:val="232323"/>
                <w:sz w:val="22"/>
                <w:szCs w:val="22"/>
              </w:rPr>
              <w:t>181.80</w:t>
            </w:r>
          </w:p>
        </w:tc>
        <w:tc>
          <w:tcPr>
            <w:tcW w:w="816" w:type="dxa"/>
            <w:shd w:val="clear" w:color="auto" w:fill="BFBFBF"/>
            <w:vAlign w:val="center"/>
          </w:tcPr>
          <w:p w:rsidR="003012C6" w:rsidRPr="005A34B7" w:rsidRDefault="003012C6" w:rsidP="003012C6">
            <w:pPr>
              <w:spacing w:line="276" w:lineRule="auto"/>
              <w:ind w:left="-114" w:right="-91"/>
              <w:jc w:val="center"/>
              <w:rPr>
                <w:rFonts w:ascii="Calibri" w:hAnsi="Calibri" w:cs="Calibri"/>
                <w:b/>
                <w:color w:val="232323"/>
                <w:sz w:val="22"/>
                <w:szCs w:val="22"/>
              </w:rPr>
            </w:pPr>
            <w:r w:rsidRPr="005A34B7">
              <w:rPr>
                <w:rFonts w:ascii="Calibri" w:hAnsi="Calibri" w:cs="Calibri"/>
                <w:b/>
                <w:color w:val="232323"/>
                <w:sz w:val="22"/>
                <w:szCs w:val="22"/>
              </w:rPr>
              <w:t>484.66</w:t>
            </w:r>
          </w:p>
        </w:tc>
        <w:tc>
          <w:tcPr>
            <w:tcW w:w="817" w:type="dxa"/>
            <w:shd w:val="clear" w:color="auto" w:fill="BFBFBF"/>
            <w:vAlign w:val="center"/>
          </w:tcPr>
          <w:p w:rsidR="003012C6" w:rsidRPr="005A34B7" w:rsidRDefault="003012C6" w:rsidP="003012C6">
            <w:pPr>
              <w:spacing w:line="276" w:lineRule="auto"/>
              <w:ind w:left="-114" w:right="-91"/>
              <w:jc w:val="center"/>
              <w:rPr>
                <w:rFonts w:ascii="Calibri" w:hAnsi="Calibri" w:cs="Calibri"/>
                <w:b/>
                <w:color w:val="232323"/>
                <w:sz w:val="22"/>
                <w:szCs w:val="22"/>
              </w:rPr>
            </w:pPr>
            <w:r w:rsidRPr="005A34B7">
              <w:rPr>
                <w:rFonts w:ascii="Calibri" w:hAnsi="Calibri" w:cs="Calibri"/>
                <w:b/>
                <w:color w:val="232323"/>
                <w:sz w:val="22"/>
                <w:szCs w:val="22"/>
              </w:rPr>
              <w:t>212.11</w:t>
            </w:r>
          </w:p>
        </w:tc>
        <w:tc>
          <w:tcPr>
            <w:tcW w:w="816" w:type="dxa"/>
            <w:shd w:val="clear" w:color="auto" w:fill="BFBFBF"/>
            <w:vAlign w:val="center"/>
          </w:tcPr>
          <w:p w:rsidR="003012C6" w:rsidRPr="005A34B7" w:rsidRDefault="003012C6" w:rsidP="003012C6">
            <w:pPr>
              <w:spacing w:line="276" w:lineRule="auto"/>
              <w:ind w:left="-114" w:right="-91"/>
              <w:jc w:val="center"/>
              <w:rPr>
                <w:rFonts w:ascii="Calibri" w:hAnsi="Calibri" w:cs="Calibri"/>
                <w:b/>
                <w:color w:val="232323"/>
                <w:sz w:val="22"/>
                <w:szCs w:val="22"/>
              </w:rPr>
            </w:pPr>
            <w:r w:rsidRPr="005A34B7">
              <w:rPr>
                <w:rFonts w:ascii="Calibri" w:hAnsi="Calibri" w:cs="Calibri"/>
                <w:b/>
                <w:color w:val="232323"/>
                <w:sz w:val="22"/>
                <w:szCs w:val="22"/>
              </w:rPr>
              <w:t>162.99</w:t>
            </w:r>
          </w:p>
        </w:tc>
        <w:tc>
          <w:tcPr>
            <w:tcW w:w="817" w:type="dxa"/>
            <w:shd w:val="clear" w:color="auto" w:fill="BFBFBF"/>
            <w:vAlign w:val="center"/>
          </w:tcPr>
          <w:p w:rsidR="003012C6" w:rsidRPr="005A34B7" w:rsidRDefault="003012C6" w:rsidP="003012C6">
            <w:pPr>
              <w:spacing w:line="276" w:lineRule="auto"/>
              <w:ind w:left="-114" w:right="-91"/>
              <w:jc w:val="center"/>
              <w:rPr>
                <w:rFonts w:ascii="Calibri" w:hAnsi="Calibri" w:cs="Calibri"/>
                <w:b/>
                <w:color w:val="232323"/>
                <w:sz w:val="22"/>
                <w:szCs w:val="22"/>
              </w:rPr>
            </w:pPr>
            <w:r w:rsidRPr="005A34B7">
              <w:rPr>
                <w:rFonts w:ascii="Calibri" w:hAnsi="Calibri" w:cs="Calibri"/>
                <w:b/>
                <w:color w:val="232323"/>
                <w:sz w:val="22"/>
                <w:szCs w:val="22"/>
              </w:rPr>
              <w:t>375.10</w:t>
            </w:r>
          </w:p>
        </w:tc>
        <w:tc>
          <w:tcPr>
            <w:tcW w:w="816" w:type="dxa"/>
            <w:shd w:val="clear" w:color="auto" w:fill="BFBFBF"/>
            <w:vAlign w:val="center"/>
          </w:tcPr>
          <w:p w:rsidR="003012C6" w:rsidRPr="005A34B7" w:rsidRDefault="003012C6" w:rsidP="003012C6">
            <w:pPr>
              <w:ind w:left="-114" w:right="-91"/>
              <w:jc w:val="center"/>
              <w:rPr>
                <w:rFonts w:ascii="Calibri" w:hAnsi="Calibri" w:cs="Calibri"/>
                <w:b/>
                <w:color w:val="232323"/>
                <w:sz w:val="22"/>
                <w:szCs w:val="22"/>
              </w:rPr>
            </w:pPr>
            <w:r w:rsidRPr="005A34B7">
              <w:rPr>
                <w:rFonts w:ascii="Calibri" w:hAnsi="Calibri" w:cs="Calibri"/>
                <w:b/>
                <w:color w:val="232323"/>
                <w:sz w:val="22"/>
                <w:szCs w:val="22"/>
              </w:rPr>
              <w:t>172.72</w:t>
            </w:r>
          </w:p>
        </w:tc>
        <w:tc>
          <w:tcPr>
            <w:tcW w:w="817" w:type="dxa"/>
            <w:shd w:val="clear" w:color="auto" w:fill="BFBFBF"/>
            <w:vAlign w:val="center"/>
          </w:tcPr>
          <w:p w:rsidR="003012C6" w:rsidRPr="005A34B7" w:rsidRDefault="003012C6" w:rsidP="003012C6">
            <w:pPr>
              <w:ind w:left="-114" w:right="-91"/>
              <w:jc w:val="center"/>
              <w:rPr>
                <w:rFonts w:ascii="Calibri" w:hAnsi="Calibri" w:cs="Calibri"/>
                <w:b/>
                <w:color w:val="232323"/>
                <w:sz w:val="22"/>
                <w:szCs w:val="22"/>
              </w:rPr>
            </w:pPr>
            <w:r w:rsidRPr="005A34B7">
              <w:rPr>
                <w:rFonts w:ascii="Calibri" w:hAnsi="Calibri" w:cs="Calibri"/>
                <w:b/>
                <w:color w:val="232323"/>
                <w:sz w:val="22"/>
                <w:szCs w:val="22"/>
              </w:rPr>
              <w:t>13.76</w:t>
            </w:r>
          </w:p>
        </w:tc>
        <w:tc>
          <w:tcPr>
            <w:tcW w:w="816" w:type="dxa"/>
            <w:shd w:val="clear" w:color="auto" w:fill="BFBFBF"/>
            <w:vAlign w:val="center"/>
          </w:tcPr>
          <w:p w:rsidR="003012C6" w:rsidRPr="005A34B7" w:rsidRDefault="003012C6" w:rsidP="003012C6">
            <w:pPr>
              <w:ind w:left="-114" w:right="-91"/>
              <w:jc w:val="center"/>
              <w:rPr>
                <w:rFonts w:ascii="Calibri" w:hAnsi="Calibri" w:cs="Calibri"/>
                <w:b/>
                <w:color w:val="232323"/>
                <w:sz w:val="22"/>
                <w:szCs w:val="22"/>
              </w:rPr>
            </w:pPr>
            <w:r w:rsidRPr="005A34B7">
              <w:rPr>
                <w:rFonts w:ascii="Calibri" w:hAnsi="Calibri" w:cs="Calibri"/>
                <w:b/>
                <w:color w:val="232323"/>
                <w:sz w:val="22"/>
                <w:szCs w:val="22"/>
              </w:rPr>
              <w:t>186.48</w:t>
            </w:r>
          </w:p>
        </w:tc>
      </w:tr>
    </w:tbl>
    <w:p w:rsidR="003012C6" w:rsidRPr="00D13284" w:rsidRDefault="003012C6" w:rsidP="003012C6">
      <w:pPr>
        <w:pStyle w:val="NoSpacing"/>
        <w:rPr>
          <w:rFonts w:cs="Calibri"/>
        </w:rPr>
      </w:pPr>
    </w:p>
    <w:p w:rsidR="003012C6" w:rsidRPr="00BB1D13" w:rsidRDefault="003012C6" w:rsidP="003012C6">
      <w:pPr>
        <w:pStyle w:val="Heading1"/>
        <w:numPr>
          <w:ilvl w:val="1"/>
          <w:numId w:val="1"/>
        </w:numPr>
        <w:spacing w:line="360" w:lineRule="auto"/>
        <w:jc w:val="both"/>
        <w:rPr>
          <w:sz w:val="22"/>
          <w:szCs w:val="22"/>
        </w:rPr>
      </w:pPr>
      <w:bookmarkStart w:id="36" w:name="_Toc404940160"/>
      <w:r w:rsidRPr="00BB1D13">
        <w:rPr>
          <w:sz w:val="22"/>
          <w:szCs w:val="22"/>
        </w:rPr>
        <w:t>Dedicated Power Supply to DHQ Hospital (DHH) &amp;(MCH)</w:t>
      </w:r>
      <w:bookmarkEnd w:id="36"/>
    </w:p>
    <w:p w:rsidR="003012C6" w:rsidRPr="00BB1D13" w:rsidRDefault="003012C6" w:rsidP="003012C6">
      <w:pPr>
        <w:pStyle w:val="ListParagraph"/>
        <w:spacing w:line="360" w:lineRule="auto"/>
        <w:ind w:left="360"/>
        <w:jc w:val="both"/>
        <w:rPr>
          <w:rFonts w:ascii="Arial" w:eastAsia="Times New Roman" w:hAnsi="Arial" w:cs="Arial"/>
          <w:color w:val="232323"/>
        </w:rPr>
      </w:pPr>
      <w:r w:rsidRPr="00BB1D13">
        <w:rPr>
          <w:rFonts w:ascii="Arial" w:eastAsia="Times New Roman" w:hAnsi="Arial" w:cs="Arial"/>
          <w:color w:val="232323"/>
        </w:rPr>
        <w:t>For smooth running of health care facilities, the Health &amp; Family Welfare Dept. through National Rural Health Mission (NRHM) is providing funds to the District Collector and in some cases directly to the Distribution Companies for providing dedicated power supply to the District HQ Hospitals and Medical College Hospitals through a dedicated 11KV &amp; 33KV Feeder. A status report on the above schemes as on 31.10.2014 is given here under.</w:t>
      </w:r>
    </w:p>
    <w:p w:rsidR="003012C6" w:rsidRPr="00D13284" w:rsidRDefault="003012C6" w:rsidP="003012C6">
      <w:pPr>
        <w:ind w:left="5040" w:firstLine="720"/>
        <w:rPr>
          <w:rFonts w:ascii="Calibri" w:hAnsi="Calibri" w:cs="Calibri"/>
          <w:i/>
          <w:color w:val="232323"/>
          <w:sz w:val="22"/>
          <w:szCs w:val="22"/>
        </w:rPr>
      </w:pPr>
      <w:r w:rsidRPr="00D13284">
        <w:rPr>
          <w:rFonts w:ascii="Calibri" w:hAnsi="Calibri" w:cs="Calibri"/>
          <w:i/>
          <w:color w:val="232323"/>
          <w:sz w:val="22"/>
          <w:szCs w:val="22"/>
        </w:rPr>
        <w:t>All figures in Cr.</w:t>
      </w:r>
    </w:p>
    <w:tbl>
      <w:tblPr>
        <w:tblW w:w="8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48"/>
        <w:gridCol w:w="1261"/>
        <w:gridCol w:w="1387"/>
        <w:gridCol w:w="1326"/>
        <w:gridCol w:w="1509"/>
        <w:gridCol w:w="1275"/>
      </w:tblGrid>
      <w:tr w:rsidR="003012C6" w:rsidRPr="00D13284" w:rsidTr="003012C6">
        <w:trPr>
          <w:trHeight w:val="720"/>
        </w:trPr>
        <w:tc>
          <w:tcPr>
            <w:tcW w:w="1348" w:type="dxa"/>
            <w:shd w:val="clear" w:color="000000" w:fill="FFFFCC"/>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Discom </w:t>
            </w:r>
          </w:p>
        </w:tc>
        <w:tc>
          <w:tcPr>
            <w:tcW w:w="1261" w:type="dxa"/>
            <w:shd w:val="clear" w:color="000000" w:fill="FFFFCC"/>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No. of  DHH &amp; MCH Taken up </w:t>
            </w:r>
          </w:p>
        </w:tc>
        <w:tc>
          <w:tcPr>
            <w:tcW w:w="1387" w:type="dxa"/>
            <w:shd w:val="clear" w:color="000000" w:fill="FFFFCC"/>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Work Order Placed</w:t>
            </w:r>
          </w:p>
        </w:tc>
        <w:tc>
          <w:tcPr>
            <w:tcW w:w="1326" w:type="dxa"/>
            <w:shd w:val="clear" w:color="000000" w:fill="FFFFCC"/>
            <w:vAlign w:val="center"/>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Works Completed </w:t>
            </w:r>
          </w:p>
        </w:tc>
        <w:tc>
          <w:tcPr>
            <w:tcW w:w="1509" w:type="dxa"/>
            <w:shd w:val="clear" w:color="000000" w:fill="FFFFCC"/>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Estimated cost </w:t>
            </w:r>
          </w:p>
        </w:tc>
        <w:tc>
          <w:tcPr>
            <w:tcW w:w="1275" w:type="dxa"/>
            <w:shd w:val="clear" w:color="000000" w:fill="FFFFCC"/>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Fund released </w:t>
            </w:r>
          </w:p>
        </w:tc>
      </w:tr>
      <w:tr w:rsidR="003012C6" w:rsidRPr="00D13284" w:rsidTr="003012C6">
        <w:trPr>
          <w:trHeight w:val="375"/>
        </w:trPr>
        <w:tc>
          <w:tcPr>
            <w:tcW w:w="1348" w:type="dxa"/>
            <w:shd w:val="clear" w:color="000000" w:fill="FFFFFF"/>
            <w:vAlign w:val="center"/>
            <w:hideMark/>
          </w:tcPr>
          <w:p w:rsidR="003012C6" w:rsidRPr="00D13284" w:rsidRDefault="003012C6" w:rsidP="003012C6">
            <w:pP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SOUTHCO </w:t>
            </w:r>
          </w:p>
        </w:tc>
        <w:tc>
          <w:tcPr>
            <w:tcW w:w="1261"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10</w:t>
            </w:r>
          </w:p>
        </w:tc>
        <w:tc>
          <w:tcPr>
            <w:tcW w:w="1387"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9</w:t>
            </w:r>
          </w:p>
        </w:tc>
        <w:tc>
          <w:tcPr>
            <w:tcW w:w="1326" w:type="dxa"/>
            <w:shd w:val="clear" w:color="000000" w:fill="FFFFFF"/>
            <w:vAlign w:val="center"/>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7</w:t>
            </w:r>
          </w:p>
        </w:tc>
        <w:tc>
          <w:tcPr>
            <w:tcW w:w="1509"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6.72</w:t>
            </w:r>
          </w:p>
        </w:tc>
        <w:tc>
          <w:tcPr>
            <w:tcW w:w="1275"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6.28</w:t>
            </w:r>
          </w:p>
        </w:tc>
      </w:tr>
      <w:tr w:rsidR="003012C6" w:rsidRPr="00D13284" w:rsidTr="003012C6">
        <w:trPr>
          <w:trHeight w:val="375"/>
        </w:trPr>
        <w:tc>
          <w:tcPr>
            <w:tcW w:w="1348" w:type="dxa"/>
            <w:shd w:val="clear" w:color="000000" w:fill="C0C0C0"/>
            <w:vAlign w:val="center"/>
            <w:hideMark/>
          </w:tcPr>
          <w:p w:rsidR="003012C6" w:rsidRPr="00D13284" w:rsidRDefault="003012C6" w:rsidP="003012C6">
            <w:pP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WESCO </w:t>
            </w:r>
          </w:p>
        </w:tc>
        <w:tc>
          <w:tcPr>
            <w:tcW w:w="1261" w:type="dxa"/>
            <w:shd w:val="clear" w:color="000000" w:fill="C0C0C0"/>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10</w:t>
            </w:r>
          </w:p>
        </w:tc>
        <w:tc>
          <w:tcPr>
            <w:tcW w:w="1387" w:type="dxa"/>
            <w:shd w:val="clear" w:color="000000" w:fill="C0C0C0"/>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10</w:t>
            </w:r>
          </w:p>
        </w:tc>
        <w:tc>
          <w:tcPr>
            <w:tcW w:w="1326" w:type="dxa"/>
            <w:shd w:val="clear" w:color="000000" w:fill="C0C0C0"/>
            <w:vAlign w:val="center"/>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9</w:t>
            </w:r>
          </w:p>
        </w:tc>
        <w:tc>
          <w:tcPr>
            <w:tcW w:w="1509" w:type="dxa"/>
            <w:shd w:val="clear" w:color="000000" w:fill="C0C0C0"/>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7.52</w:t>
            </w:r>
          </w:p>
        </w:tc>
        <w:tc>
          <w:tcPr>
            <w:tcW w:w="1275" w:type="dxa"/>
            <w:shd w:val="clear" w:color="000000" w:fill="C0C0C0"/>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7.52</w:t>
            </w:r>
          </w:p>
        </w:tc>
      </w:tr>
      <w:tr w:rsidR="003012C6" w:rsidRPr="00D13284" w:rsidTr="003012C6">
        <w:trPr>
          <w:trHeight w:val="375"/>
        </w:trPr>
        <w:tc>
          <w:tcPr>
            <w:tcW w:w="1348" w:type="dxa"/>
            <w:shd w:val="clear" w:color="000000" w:fill="FFFFFF"/>
            <w:vAlign w:val="center"/>
            <w:hideMark/>
          </w:tcPr>
          <w:p w:rsidR="003012C6" w:rsidRPr="00D13284" w:rsidRDefault="003012C6" w:rsidP="003012C6">
            <w:pP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NESCO </w:t>
            </w:r>
          </w:p>
        </w:tc>
        <w:tc>
          <w:tcPr>
            <w:tcW w:w="1261"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5</w:t>
            </w:r>
          </w:p>
        </w:tc>
        <w:tc>
          <w:tcPr>
            <w:tcW w:w="1387"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5</w:t>
            </w:r>
          </w:p>
        </w:tc>
        <w:tc>
          <w:tcPr>
            <w:tcW w:w="1326" w:type="dxa"/>
            <w:shd w:val="clear" w:color="000000" w:fill="FFFFFF"/>
            <w:vAlign w:val="center"/>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3</w:t>
            </w:r>
          </w:p>
        </w:tc>
        <w:tc>
          <w:tcPr>
            <w:tcW w:w="1509"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2.80</w:t>
            </w:r>
          </w:p>
        </w:tc>
        <w:tc>
          <w:tcPr>
            <w:tcW w:w="1275"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2.80</w:t>
            </w:r>
          </w:p>
        </w:tc>
      </w:tr>
      <w:tr w:rsidR="003012C6" w:rsidRPr="00D13284" w:rsidTr="003012C6">
        <w:trPr>
          <w:trHeight w:val="375"/>
        </w:trPr>
        <w:tc>
          <w:tcPr>
            <w:tcW w:w="1348" w:type="dxa"/>
            <w:shd w:val="clear" w:color="000000" w:fill="C0C0C0"/>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 xml:space="preserve">Total </w:t>
            </w:r>
          </w:p>
        </w:tc>
        <w:tc>
          <w:tcPr>
            <w:tcW w:w="1261" w:type="dxa"/>
            <w:shd w:val="clear" w:color="000000" w:fill="C0C0C0"/>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25</w:t>
            </w:r>
          </w:p>
        </w:tc>
        <w:tc>
          <w:tcPr>
            <w:tcW w:w="1387" w:type="dxa"/>
            <w:shd w:val="clear" w:color="000000" w:fill="C0C0C0"/>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24</w:t>
            </w:r>
          </w:p>
        </w:tc>
        <w:tc>
          <w:tcPr>
            <w:tcW w:w="1326" w:type="dxa"/>
            <w:shd w:val="clear" w:color="000000" w:fill="C0C0C0"/>
            <w:vAlign w:val="center"/>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19</w:t>
            </w:r>
          </w:p>
        </w:tc>
        <w:tc>
          <w:tcPr>
            <w:tcW w:w="1509" w:type="dxa"/>
            <w:shd w:val="clear" w:color="000000" w:fill="C0C0C0"/>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17.04</w:t>
            </w:r>
          </w:p>
        </w:tc>
        <w:tc>
          <w:tcPr>
            <w:tcW w:w="1275" w:type="dxa"/>
            <w:shd w:val="clear" w:color="000000" w:fill="C0C0C0"/>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16.60</w:t>
            </w:r>
          </w:p>
        </w:tc>
      </w:tr>
    </w:tbl>
    <w:p w:rsidR="003012C6" w:rsidRPr="00D13284" w:rsidRDefault="005F5D05" w:rsidP="003012C6">
      <w:pPr>
        <w:pStyle w:val="NoSpacing"/>
        <w:rPr>
          <w:rFonts w:cs="Calibri"/>
        </w:rPr>
      </w:pPr>
      <w:r>
        <w:rPr>
          <w:rFonts w:cs="Calibri"/>
        </w:rPr>
        <w:t>( DHQ – District Head Quarters , MCH –Medical College and Hospital)</w:t>
      </w:r>
    </w:p>
    <w:p w:rsidR="003012C6" w:rsidRPr="00E27007" w:rsidRDefault="003012C6" w:rsidP="003012C6">
      <w:pPr>
        <w:pStyle w:val="Heading1"/>
        <w:numPr>
          <w:ilvl w:val="1"/>
          <w:numId w:val="1"/>
        </w:numPr>
        <w:spacing w:line="360" w:lineRule="auto"/>
        <w:jc w:val="both"/>
        <w:rPr>
          <w:rFonts w:ascii="Cambria" w:hAnsi="Cambria"/>
          <w:bCs w:val="0"/>
          <w:sz w:val="24"/>
          <w:szCs w:val="24"/>
        </w:rPr>
      </w:pPr>
      <w:bookmarkStart w:id="37" w:name="_Toc404940161"/>
      <w:r w:rsidRPr="00E27007">
        <w:rPr>
          <w:rFonts w:ascii="Cambria" w:hAnsi="Cambria"/>
          <w:bCs w:val="0"/>
          <w:sz w:val="24"/>
          <w:szCs w:val="24"/>
        </w:rPr>
        <w:t>Shifting of lines &amp; S</w:t>
      </w:r>
      <w:r w:rsidR="008E6F8B">
        <w:rPr>
          <w:rFonts w:ascii="Cambria" w:hAnsi="Cambria"/>
          <w:bCs w:val="0"/>
          <w:sz w:val="24"/>
          <w:szCs w:val="24"/>
        </w:rPr>
        <w:t>/S from</w:t>
      </w:r>
      <w:r w:rsidRPr="00E27007">
        <w:rPr>
          <w:rFonts w:ascii="Cambria" w:hAnsi="Cambria"/>
          <w:bCs w:val="0"/>
          <w:sz w:val="24"/>
          <w:szCs w:val="24"/>
        </w:rPr>
        <w:t xml:space="preserve"> the Premises of Govt. Schools &amp; Anganwadi Centers</w:t>
      </w:r>
      <w:bookmarkEnd w:id="37"/>
    </w:p>
    <w:p w:rsidR="003012C6" w:rsidRPr="00BB1D13" w:rsidRDefault="003012C6" w:rsidP="003012C6">
      <w:pPr>
        <w:pStyle w:val="ListParagraph"/>
        <w:spacing w:line="360" w:lineRule="auto"/>
        <w:ind w:left="360"/>
        <w:jc w:val="both"/>
        <w:rPr>
          <w:rFonts w:ascii="Arial" w:eastAsia="Times New Roman" w:hAnsi="Arial" w:cs="Arial"/>
          <w:color w:val="232323"/>
        </w:rPr>
      </w:pPr>
      <w:r w:rsidRPr="00BB1D13">
        <w:rPr>
          <w:rFonts w:ascii="Arial" w:eastAsia="Times New Roman" w:hAnsi="Arial" w:cs="Arial"/>
          <w:color w:val="232323"/>
        </w:rPr>
        <w:t xml:space="preserve">The State Govt. has formulated a scheme to shift lines and substations to outside the premises of the Govt. Schools &amp; AWCs for providing safety &amp; secure ambience to children. State Govt. will release funds in shape of grant to the DISCOMs for implementation of the Project. The technical specification of materials will be as per CAPEX programme. The </w:t>
      </w:r>
      <w:r w:rsidRPr="00BB1D13">
        <w:rPr>
          <w:rFonts w:ascii="Arial" w:eastAsia="Times New Roman" w:hAnsi="Arial" w:cs="Arial"/>
          <w:color w:val="232323"/>
        </w:rPr>
        <w:lastRenderedPageBreak/>
        <w:t>quality of execution would be supervised by the Dist. Administration. The budget provision for FY 2014-15 is Rs.20.38Cr. The scheme is being implemented by Discoms.</w:t>
      </w:r>
    </w:p>
    <w:p w:rsidR="003012C6" w:rsidRPr="00BB1D13" w:rsidRDefault="003012C6" w:rsidP="003012C6">
      <w:pPr>
        <w:pStyle w:val="ListParagraph"/>
        <w:ind w:left="0"/>
        <w:jc w:val="both"/>
        <w:rPr>
          <w:rFonts w:ascii="Arial" w:hAnsi="Arial" w:cs="Arial"/>
          <w:color w:val="232323"/>
          <w:u w:val="single"/>
        </w:rPr>
      </w:pPr>
      <w:r w:rsidRPr="00BB1D13">
        <w:rPr>
          <w:rFonts w:ascii="Arial" w:hAnsi="Arial" w:cs="Arial"/>
          <w:color w:val="232323"/>
          <w:u w:val="single"/>
        </w:rPr>
        <w:t>Progress as on 31.10.2014</w:t>
      </w:r>
    </w:p>
    <w:p w:rsidR="003012C6" w:rsidRPr="00D13284" w:rsidRDefault="003012C6" w:rsidP="003012C6">
      <w:pPr>
        <w:ind w:left="5040"/>
        <w:rPr>
          <w:rFonts w:ascii="Calibri" w:hAnsi="Calibri" w:cs="Calibri"/>
          <w:i/>
          <w:color w:val="232323"/>
          <w:sz w:val="22"/>
          <w:szCs w:val="22"/>
        </w:rPr>
      </w:pPr>
      <w:r w:rsidRPr="00D13284">
        <w:rPr>
          <w:rFonts w:ascii="Calibri" w:hAnsi="Calibri" w:cs="Calibri"/>
          <w:i/>
          <w:color w:val="232323"/>
          <w:sz w:val="22"/>
          <w:szCs w:val="22"/>
        </w:rPr>
        <w:t>All figures in Cr.</w:t>
      </w:r>
    </w:p>
    <w:tbl>
      <w:tblPr>
        <w:tblW w:w="719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9"/>
        <w:gridCol w:w="1620"/>
        <w:gridCol w:w="1620"/>
        <w:gridCol w:w="1273"/>
        <w:gridCol w:w="1352"/>
      </w:tblGrid>
      <w:tr w:rsidR="003012C6" w:rsidRPr="00D13284" w:rsidTr="003012C6">
        <w:trPr>
          <w:trHeight w:val="1101"/>
        </w:trPr>
        <w:tc>
          <w:tcPr>
            <w:tcW w:w="1329" w:type="dxa"/>
            <w:shd w:val="clear" w:color="000000" w:fill="FFFFCC"/>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Discom </w:t>
            </w:r>
          </w:p>
        </w:tc>
        <w:tc>
          <w:tcPr>
            <w:tcW w:w="1620" w:type="dxa"/>
            <w:shd w:val="clear" w:color="000000" w:fill="FFFFCC"/>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No. of  Schools/AWC Taken up </w:t>
            </w:r>
          </w:p>
        </w:tc>
        <w:tc>
          <w:tcPr>
            <w:tcW w:w="1620" w:type="dxa"/>
            <w:shd w:val="clear" w:color="000000" w:fill="FFFFCC"/>
            <w:vAlign w:val="center"/>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No. of Schools/AWC Completed </w:t>
            </w:r>
          </w:p>
        </w:tc>
        <w:tc>
          <w:tcPr>
            <w:tcW w:w="1273" w:type="dxa"/>
            <w:shd w:val="clear" w:color="000000" w:fill="FFFFCC"/>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Estimated cost </w:t>
            </w:r>
          </w:p>
        </w:tc>
        <w:tc>
          <w:tcPr>
            <w:tcW w:w="1352" w:type="dxa"/>
            <w:shd w:val="clear" w:color="000000" w:fill="FFFFCC"/>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Fund released </w:t>
            </w:r>
          </w:p>
        </w:tc>
      </w:tr>
      <w:tr w:rsidR="003012C6" w:rsidRPr="00D13284" w:rsidTr="003012C6">
        <w:trPr>
          <w:trHeight w:val="375"/>
        </w:trPr>
        <w:tc>
          <w:tcPr>
            <w:tcW w:w="1329" w:type="dxa"/>
            <w:shd w:val="clear" w:color="000000" w:fill="FFFFFF"/>
            <w:vAlign w:val="center"/>
            <w:hideMark/>
          </w:tcPr>
          <w:p w:rsidR="003012C6" w:rsidRPr="00D13284" w:rsidRDefault="003012C6" w:rsidP="003012C6">
            <w:pP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SOUTHCO </w:t>
            </w:r>
          </w:p>
        </w:tc>
        <w:tc>
          <w:tcPr>
            <w:tcW w:w="1620"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693</w:t>
            </w:r>
          </w:p>
        </w:tc>
        <w:tc>
          <w:tcPr>
            <w:tcW w:w="1620" w:type="dxa"/>
            <w:shd w:val="clear" w:color="000000" w:fill="FFFFFF"/>
            <w:vAlign w:val="center"/>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686</w:t>
            </w:r>
          </w:p>
        </w:tc>
        <w:tc>
          <w:tcPr>
            <w:tcW w:w="1273"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7.39</w:t>
            </w:r>
          </w:p>
        </w:tc>
        <w:tc>
          <w:tcPr>
            <w:tcW w:w="1352"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7.22</w:t>
            </w:r>
          </w:p>
        </w:tc>
      </w:tr>
      <w:tr w:rsidR="003012C6" w:rsidRPr="00D13284" w:rsidTr="003012C6">
        <w:trPr>
          <w:trHeight w:val="375"/>
        </w:trPr>
        <w:tc>
          <w:tcPr>
            <w:tcW w:w="1329" w:type="dxa"/>
            <w:shd w:val="clear" w:color="000000" w:fill="C0C0C0"/>
            <w:vAlign w:val="center"/>
            <w:hideMark/>
          </w:tcPr>
          <w:p w:rsidR="003012C6" w:rsidRPr="00D13284" w:rsidRDefault="003012C6" w:rsidP="003012C6">
            <w:pP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WESCO </w:t>
            </w:r>
          </w:p>
        </w:tc>
        <w:tc>
          <w:tcPr>
            <w:tcW w:w="1620" w:type="dxa"/>
            <w:shd w:val="clear" w:color="000000" w:fill="C0C0C0"/>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947</w:t>
            </w:r>
          </w:p>
        </w:tc>
        <w:tc>
          <w:tcPr>
            <w:tcW w:w="1620" w:type="dxa"/>
            <w:shd w:val="clear" w:color="000000" w:fill="C0C0C0"/>
            <w:vAlign w:val="center"/>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920</w:t>
            </w:r>
          </w:p>
        </w:tc>
        <w:tc>
          <w:tcPr>
            <w:tcW w:w="1273" w:type="dxa"/>
            <w:shd w:val="clear" w:color="000000" w:fill="C0C0C0"/>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8.96</w:t>
            </w:r>
          </w:p>
        </w:tc>
        <w:tc>
          <w:tcPr>
            <w:tcW w:w="1352" w:type="dxa"/>
            <w:shd w:val="clear" w:color="000000" w:fill="C0C0C0"/>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4.08</w:t>
            </w:r>
          </w:p>
        </w:tc>
      </w:tr>
      <w:tr w:rsidR="003012C6" w:rsidRPr="00D13284" w:rsidTr="003012C6">
        <w:trPr>
          <w:trHeight w:val="375"/>
        </w:trPr>
        <w:tc>
          <w:tcPr>
            <w:tcW w:w="1329" w:type="dxa"/>
            <w:shd w:val="clear" w:color="000000" w:fill="FFFFFF"/>
            <w:vAlign w:val="center"/>
            <w:hideMark/>
          </w:tcPr>
          <w:p w:rsidR="003012C6" w:rsidRPr="00D13284" w:rsidRDefault="003012C6" w:rsidP="003012C6">
            <w:pP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NESCO </w:t>
            </w:r>
          </w:p>
        </w:tc>
        <w:tc>
          <w:tcPr>
            <w:tcW w:w="1620"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1694</w:t>
            </w:r>
          </w:p>
        </w:tc>
        <w:tc>
          <w:tcPr>
            <w:tcW w:w="1620" w:type="dxa"/>
            <w:shd w:val="clear" w:color="000000" w:fill="FFFFFF"/>
            <w:vAlign w:val="center"/>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1346</w:t>
            </w:r>
          </w:p>
        </w:tc>
        <w:tc>
          <w:tcPr>
            <w:tcW w:w="1273"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12.02</w:t>
            </w:r>
          </w:p>
        </w:tc>
        <w:tc>
          <w:tcPr>
            <w:tcW w:w="1352"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5.95</w:t>
            </w:r>
          </w:p>
        </w:tc>
      </w:tr>
      <w:tr w:rsidR="003012C6" w:rsidRPr="00D13284" w:rsidTr="003012C6">
        <w:trPr>
          <w:trHeight w:val="375"/>
        </w:trPr>
        <w:tc>
          <w:tcPr>
            <w:tcW w:w="1329" w:type="dxa"/>
            <w:shd w:val="clear" w:color="000000" w:fill="C0C0C0"/>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 xml:space="preserve">Total </w:t>
            </w:r>
          </w:p>
        </w:tc>
        <w:tc>
          <w:tcPr>
            <w:tcW w:w="1620" w:type="dxa"/>
            <w:shd w:val="clear" w:color="000000" w:fill="C0C0C0"/>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3334</w:t>
            </w:r>
          </w:p>
        </w:tc>
        <w:tc>
          <w:tcPr>
            <w:tcW w:w="1620" w:type="dxa"/>
            <w:shd w:val="clear" w:color="000000" w:fill="C0C0C0"/>
            <w:vAlign w:val="center"/>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2952</w:t>
            </w:r>
          </w:p>
        </w:tc>
        <w:tc>
          <w:tcPr>
            <w:tcW w:w="1273" w:type="dxa"/>
            <w:shd w:val="clear" w:color="000000" w:fill="C0C0C0"/>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28.37</w:t>
            </w:r>
          </w:p>
        </w:tc>
        <w:tc>
          <w:tcPr>
            <w:tcW w:w="1352" w:type="dxa"/>
            <w:shd w:val="clear" w:color="000000" w:fill="C0C0C0"/>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17.25</w:t>
            </w:r>
          </w:p>
        </w:tc>
      </w:tr>
    </w:tbl>
    <w:p w:rsidR="003012C6" w:rsidRPr="00D13284" w:rsidRDefault="003012C6" w:rsidP="003012C6">
      <w:pPr>
        <w:jc w:val="both"/>
        <w:rPr>
          <w:rFonts w:ascii="Calibri" w:hAnsi="Calibri" w:cs="Calibri"/>
          <w:b/>
          <w:sz w:val="22"/>
          <w:szCs w:val="22"/>
        </w:rPr>
      </w:pPr>
    </w:p>
    <w:p w:rsidR="003012C6" w:rsidRPr="00BB1D13" w:rsidRDefault="003012C6" w:rsidP="003012C6">
      <w:pPr>
        <w:pStyle w:val="Heading1"/>
        <w:numPr>
          <w:ilvl w:val="1"/>
          <w:numId w:val="1"/>
        </w:numPr>
        <w:spacing w:line="360" w:lineRule="auto"/>
        <w:jc w:val="both"/>
        <w:rPr>
          <w:bCs w:val="0"/>
          <w:sz w:val="22"/>
          <w:szCs w:val="22"/>
        </w:rPr>
      </w:pPr>
      <w:bookmarkStart w:id="38" w:name="_Toc404940162"/>
      <w:r w:rsidRPr="00BB1D13">
        <w:rPr>
          <w:bCs w:val="0"/>
          <w:sz w:val="22"/>
          <w:szCs w:val="22"/>
        </w:rPr>
        <w:t>Strengthening of Infrastructures in Elephant Corridor</w:t>
      </w:r>
      <w:bookmarkEnd w:id="38"/>
    </w:p>
    <w:p w:rsidR="003012C6" w:rsidRPr="00BB1D13" w:rsidRDefault="003012C6" w:rsidP="003012C6">
      <w:pPr>
        <w:spacing w:line="360" w:lineRule="auto"/>
        <w:jc w:val="both"/>
        <w:rPr>
          <w:rFonts w:ascii="Arial" w:hAnsi="Arial" w:cs="Arial"/>
          <w:color w:val="232323"/>
          <w:sz w:val="22"/>
          <w:szCs w:val="22"/>
        </w:rPr>
      </w:pPr>
      <w:r w:rsidRPr="00BB1D13">
        <w:rPr>
          <w:rFonts w:ascii="Arial" w:hAnsi="Arial" w:cs="Arial"/>
          <w:sz w:val="22"/>
          <w:szCs w:val="22"/>
        </w:rPr>
        <w:t xml:space="preserve">The State Govt. has formulated a scheme named as Strengthening of Electrical Infrastructure inside Elephant Corridor in order to avoid elephant electrocution and to provide safe movement of elephants without any hazards from the existing electrical infrastructures in and around the defined Elephant movement corridors. State Govt. will release the funds in shape of grants to the DISCOMs for execution of works. The scope of works includes erecting of interposing poles, use of Spikes in Poles, Cooping, Fencing AB cabling of LT lines etc. The technical specification of materials will be as per CAPEX. The qualities of execution are supervised by the Dist. Administration. There is a budget provision of Rs.15 Crs. for FY 2014-15. </w:t>
      </w:r>
      <w:r w:rsidRPr="00BB1D13">
        <w:rPr>
          <w:rFonts w:ascii="Arial" w:hAnsi="Arial" w:cs="Arial"/>
          <w:color w:val="232323"/>
          <w:sz w:val="22"/>
          <w:szCs w:val="22"/>
        </w:rPr>
        <w:t>The scheme is being implemented by Discoms.</w:t>
      </w:r>
    </w:p>
    <w:p w:rsidR="003012C6" w:rsidRPr="00BB1D13" w:rsidRDefault="003012C6" w:rsidP="003012C6">
      <w:pPr>
        <w:pStyle w:val="ListParagraph"/>
        <w:ind w:left="0"/>
        <w:jc w:val="both"/>
        <w:rPr>
          <w:rFonts w:ascii="Arial" w:hAnsi="Arial" w:cs="Arial"/>
          <w:color w:val="232323"/>
          <w:u w:val="single"/>
        </w:rPr>
      </w:pPr>
      <w:r w:rsidRPr="00BB1D13">
        <w:rPr>
          <w:rFonts w:ascii="Arial" w:hAnsi="Arial" w:cs="Arial"/>
          <w:color w:val="232323"/>
          <w:u w:val="single"/>
        </w:rPr>
        <w:t>Progress as on 31.10.2014:</w:t>
      </w:r>
    </w:p>
    <w:p w:rsidR="003012C6" w:rsidRPr="00D13284" w:rsidRDefault="003012C6" w:rsidP="003012C6">
      <w:pPr>
        <w:ind w:left="7200"/>
        <w:rPr>
          <w:rFonts w:ascii="Calibri" w:hAnsi="Calibri" w:cs="Calibri"/>
          <w:i/>
          <w:color w:val="232323"/>
          <w:sz w:val="22"/>
          <w:szCs w:val="22"/>
        </w:rPr>
      </w:pPr>
      <w:r w:rsidRPr="00D13284">
        <w:rPr>
          <w:rFonts w:ascii="Calibri" w:hAnsi="Calibri" w:cs="Calibri"/>
          <w:i/>
          <w:color w:val="232323"/>
          <w:sz w:val="22"/>
          <w:szCs w:val="22"/>
        </w:rPr>
        <w:t>All figures in Cr.</w:t>
      </w:r>
    </w:p>
    <w:tbl>
      <w:tblPr>
        <w:tblW w:w="1007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23"/>
        <w:gridCol w:w="1097"/>
        <w:gridCol w:w="992"/>
        <w:gridCol w:w="1134"/>
        <w:gridCol w:w="1134"/>
        <w:gridCol w:w="993"/>
        <w:gridCol w:w="1134"/>
        <w:gridCol w:w="1134"/>
        <w:gridCol w:w="1134"/>
      </w:tblGrid>
      <w:tr w:rsidR="003012C6" w:rsidRPr="00D13284" w:rsidTr="003012C6">
        <w:trPr>
          <w:trHeight w:val="462"/>
        </w:trPr>
        <w:tc>
          <w:tcPr>
            <w:tcW w:w="1323" w:type="dxa"/>
            <w:vMerge w:val="restart"/>
            <w:shd w:val="clear" w:color="000000" w:fill="FFFFCC"/>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Discom </w:t>
            </w:r>
          </w:p>
        </w:tc>
        <w:tc>
          <w:tcPr>
            <w:tcW w:w="3223" w:type="dxa"/>
            <w:gridSpan w:val="3"/>
            <w:shd w:val="clear" w:color="000000" w:fill="FFFFCC"/>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Works Proposed</w:t>
            </w:r>
          </w:p>
        </w:tc>
        <w:tc>
          <w:tcPr>
            <w:tcW w:w="3261" w:type="dxa"/>
            <w:gridSpan w:val="3"/>
            <w:shd w:val="clear" w:color="000000" w:fill="FFFFCC"/>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Works Completed </w:t>
            </w:r>
          </w:p>
        </w:tc>
        <w:tc>
          <w:tcPr>
            <w:tcW w:w="1134" w:type="dxa"/>
            <w:vMerge w:val="restart"/>
            <w:shd w:val="clear" w:color="000000" w:fill="FFFFCC"/>
            <w:vAlign w:val="center"/>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Estimated cost</w:t>
            </w:r>
          </w:p>
        </w:tc>
        <w:tc>
          <w:tcPr>
            <w:tcW w:w="1134" w:type="dxa"/>
            <w:vMerge w:val="restart"/>
            <w:shd w:val="clear" w:color="000000" w:fill="FFFFCC"/>
            <w:vAlign w:val="center"/>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Fund released</w:t>
            </w:r>
          </w:p>
        </w:tc>
      </w:tr>
      <w:tr w:rsidR="003012C6" w:rsidRPr="00D13284" w:rsidTr="003012C6">
        <w:trPr>
          <w:trHeight w:val="735"/>
        </w:trPr>
        <w:tc>
          <w:tcPr>
            <w:tcW w:w="1323" w:type="dxa"/>
            <w:vMerge/>
            <w:vAlign w:val="center"/>
            <w:hideMark/>
          </w:tcPr>
          <w:p w:rsidR="003012C6" w:rsidRPr="00D13284" w:rsidRDefault="003012C6" w:rsidP="003012C6">
            <w:pPr>
              <w:rPr>
                <w:rFonts w:ascii="Calibri" w:hAnsi="Calibri" w:cs="Calibri"/>
                <w:bCs/>
                <w:color w:val="000000"/>
                <w:sz w:val="22"/>
                <w:szCs w:val="22"/>
                <w:lang w:val="en-IN" w:eastAsia="en-IN"/>
              </w:rPr>
            </w:pPr>
          </w:p>
        </w:tc>
        <w:tc>
          <w:tcPr>
            <w:tcW w:w="1097" w:type="dxa"/>
            <w:shd w:val="clear" w:color="000000" w:fill="FFFFCC"/>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Interposing Poles </w:t>
            </w:r>
          </w:p>
        </w:tc>
        <w:tc>
          <w:tcPr>
            <w:tcW w:w="992" w:type="dxa"/>
            <w:shd w:val="clear" w:color="000000" w:fill="FFFFCC"/>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Spikes </w:t>
            </w:r>
          </w:p>
        </w:tc>
        <w:tc>
          <w:tcPr>
            <w:tcW w:w="1134" w:type="dxa"/>
            <w:shd w:val="clear" w:color="000000" w:fill="FFFFCC"/>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Couping </w:t>
            </w:r>
          </w:p>
        </w:tc>
        <w:tc>
          <w:tcPr>
            <w:tcW w:w="1134" w:type="dxa"/>
            <w:shd w:val="clear" w:color="000000" w:fill="FFFFCC"/>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Interposing Poles </w:t>
            </w:r>
          </w:p>
        </w:tc>
        <w:tc>
          <w:tcPr>
            <w:tcW w:w="993" w:type="dxa"/>
            <w:shd w:val="clear" w:color="000000" w:fill="FFFFCC"/>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Spikes </w:t>
            </w:r>
          </w:p>
        </w:tc>
        <w:tc>
          <w:tcPr>
            <w:tcW w:w="1134" w:type="dxa"/>
            <w:shd w:val="clear" w:color="000000" w:fill="FFFFCC"/>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Couping </w:t>
            </w:r>
          </w:p>
        </w:tc>
        <w:tc>
          <w:tcPr>
            <w:tcW w:w="1134" w:type="dxa"/>
            <w:vMerge/>
            <w:shd w:val="clear" w:color="000000" w:fill="FFFFCC"/>
            <w:vAlign w:val="center"/>
          </w:tcPr>
          <w:p w:rsidR="003012C6" w:rsidRPr="00D13284" w:rsidRDefault="003012C6" w:rsidP="003012C6">
            <w:pPr>
              <w:jc w:val="center"/>
              <w:rPr>
                <w:rFonts w:ascii="Calibri" w:hAnsi="Calibri" w:cs="Calibri"/>
                <w:bCs/>
                <w:color w:val="000000"/>
                <w:sz w:val="22"/>
                <w:szCs w:val="22"/>
                <w:lang w:val="en-IN" w:eastAsia="en-IN"/>
              </w:rPr>
            </w:pPr>
          </w:p>
        </w:tc>
        <w:tc>
          <w:tcPr>
            <w:tcW w:w="1134" w:type="dxa"/>
            <w:vMerge/>
            <w:shd w:val="clear" w:color="000000" w:fill="FFFFCC"/>
            <w:vAlign w:val="center"/>
          </w:tcPr>
          <w:p w:rsidR="003012C6" w:rsidRPr="00D13284" w:rsidRDefault="003012C6" w:rsidP="003012C6">
            <w:pPr>
              <w:jc w:val="center"/>
              <w:rPr>
                <w:rFonts w:ascii="Calibri" w:hAnsi="Calibri" w:cs="Calibri"/>
                <w:bCs/>
                <w:color w:val="000000"/>
                <w:sz w:val="22"/>
                <w:szCs w:val="22"/>
                <w:lang w:val="en-IN" w:eastAsia="en-IN"/>
              </w:rPr>
            </w:pPr>
          </w:p>
        </w:tc>
      </w:tr>
      <w:tr w:rsidR="003012C6" w:rsidRPr="00D13284" w:rsidTr="003012C6">
        <w:trPr>
          <w:trHeight w:val="375"/>
        </w:trPr>
        <w:tc>
          <w:tcPr>
            <w:tcW w:w="1323" w:type="dxa"/>
            <w:shd w:val="clear" w:color="000000" w:fill="C0C0C0"/>
            <w:vAlign w:val="center"/>
            <w:hideMark/>
          </w:tcPr>
          <w:p w:rsidR="003012C6" w:rsidRPr="00D13284" w:rsidRDefault="003012C6" w:rsidP="003012C6">
            <w:pP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SOUTHCO </w:t>
            </w:r>
          </w:p>
        </w:tc>
        <w:tc>
          <w:tcPr>
            <w:tcW w:w="1097" w:type="dxa"/>
            <w:shd w:val="clear" w:color="000000" w:fill="C0C0C0"/>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1921</w:t>
            </w:r>
          </w:p>
        </w:tc>
        <w:tc>
          <w:tcPr>
            <w:tcW w:w="992" w:type="dxa"/>
            <w:shd w:val="clear" w:color="000000" w:fill="C0C0C0"/>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3892</w:t>
            </w:r>
          </w:p>
        </w:tc>
        <w:tc>
          <w:tcPr>
            <w:tcW w:w="1134" w:type="dxa"/>
            <w:shd w:val="clear" w:color="000000" w:fill="C0C0C0"/>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3448</w:t>
            </w:r>
          </w:p>
        </w:tc>
        <w:tc>
          <w:tcPr>
            <w:tcW w:w="1134" w:type="dxa"/>
            <w:shd w:val="clear" w:color="000000" w:fill="C0C0C0"/>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1921</w:t>
            </w:r>
          </w:p>
        </w:tc>
        <w:tc>
          <w:tcPr>
            <w:tcW w:w="993" w:type="dxa"/>
            <w:shd w:val="clear" w:color="000000" w:fill="C0C0C0"/>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3892</w:t>
            </w:r>
          </w:p>
        </w:tc>
        <w:tc>
          <w:tcPr>
            <w:tcW w:w="1134" w:type="dxa"/>
            <w:shd w:val="clear" w:color="000000" w:fill="C0C0C0"/>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3448</w:t>
            </w:r>
          </w:p>
        </w:tc>
        <w:tc>
          <w:tcPr>
            <w:tcW w:w="1134" w:type="dxa"/>
            <w:shd w:val="clear" w:color="000000" w:fill="C0C0C0"/>
            <w:vAlign w:val="center"/>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3.65</w:t>
            </w:r>
          </w:p>
        </w:tc>
        <w:tc>
          <w:tcPr>
            <w:tcW w:w="1134" w:type="dxa"/>
            <w:shd w:val="clear" w:color="000000" w:fill="C0C0C0"/>
            <w:vAlign w:val="center"/>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3.65</w:t>
            </w:r>
          </w:p>
        </w:tc>
      </w:tr>
      <w:tr w:rsidR="003012C6" w:rsidRPr="00D13284" w:rsidTr="003012C6">
        <w:trPr>
          <w:trHeight w:val="375"/>
        </w:trPr>
        <w:tc>
          <w:tcPr>
            <w:tcW w:w="1323" w:type="dxa"/>
            <w:shd w:val="clear" w:color="000000" w:fill="FFFFFF"/>
            <w:vAlign w:val="center"/>
            <w:hideMark/>
          </w:tcPr>
          <w:p w:rsidR="003012C6" w:rsidRPr="00D13284" w:rsidRDefault="003012C6" w:rsidP="003012C6">
            <w:pP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WESCO </w:t>
            </w:r>
          </w:p>
        </w:tc>
        <w:tc>
          <w:tcPr>
            <w:tcW w:w="1097"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8174</w:t>
            </w:r>
          </w:p>
        </w:tc>
        <w:tc>
          <w:tcPr>
            <w:tcW w:w="992"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13116</w:t>
            </w:r>
          </w:p>
        </w:tc>
        <w:tc>
          <w:tcPr>
            <w:tcW w:w="1134"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5934</w:t>
            </w:r>
          </w:p>
        </w:tc>
        <w:tc>
          <w:tcPr>
            <w:tcW w:w="1134"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2485</w:t>
            </w:r>
          </w:p>
        </w:tc>
        <w:tc>
          <w:tcPr>
            <w:tcW w:w="993"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1088</w:t>
            </w:r>
          </w:p>
        </w:tc>
        <w:tc>
          <w:tcPr>
            <w:tcW w:w="1134" w:type="dxa"/>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1302</w:t>
            </w:r>
          </w:p>
        </w:tc>
        <w:tc>
          <w:tcPr>
            <w:tcW w:w="1134" w:type="dxa"/>
            <w:shd w:val="clear" w:color="000000" w:fill="FFFFFF"/>
            <w:vAlign w:val="center"/>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7.10</w:t>
            </w:r>
          </w:p>
        </w:tc>
        <w:tc>
          <w:tcPr>
            <w:tcW w:w="1134" w:type="dxa"/>
            <w:shd w:val="clear" w:color="000000" w:fill="FFFFFF"/>
            <w:vAlign w:val="center"/>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7.17</w:t>
            </w:r>
          </w:p>
        </w:tc>
      </w:tr>
      <w:tr w:rsidR="003012C6" w:rsidRPr="00D13284" w:rsidTr="003012C6">
        <w:trPr>
          <w:trHeight w:val="375"/>
        </w:trPr>
        <w:tc>
          <w:tcPr>
            <w:tcW w:w="1323" w:type="dxa"/>
            <w:shd w:val="clear" w:color="000000" w:fill="C0C0C0"/>
            <w:vAlign w:val="center"/>
            <w:hideMark/>
          </w:tcPr>
          <w:p w:rsidR="003012C6" w:rsidRPr="00D13284" w:rsidRDefault="003012C6" w:rsidP="003012C6">
            <w:pP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NESCO </w:t>
            </w:r>
          </w:p>
        </w:tc>
        <w:tc>
          <w:tcPr>
            <w:tcW w:w="1097" w:type="dxa"/>
            <w:shd w:val="clear" w:color="000000" w:fill="C0C0C0"/>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1107</w:t>
            </w:r>
          </w:p>
        </w:tc>
        <w:tc>
          <w:tcPr>
            <w:tcW w:w="992" w:type="dxa"/>
            <w:shd w:val="clear" w:color="000000" w:fill="C0C0C0"/>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7034</w:t>
            </w:r>
          </w:p>
        </w:tc>
        <w:tc>
          <w:tcPr>
            <w:tcW w:w="1134" w:type="dxa"/>
            <w:shd w:val="clear" w:color="000000" w:fill="C0C0C0"/>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5927</w:t>
            </w:r>
          </w:p>
        </w:tc>
        <w:tc>
          <w:tcPr>
            <w:tcW w:w="1134" w:type="dxa"/>
            <w:shd w:val="clear" w:color="000000" w:fill="C0C0C0"/>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963</w:t>
            </w:r>
          </w:p>
        </w:tc>
        <w:tc>
          <w:tcPr>
            <w:tcW w:w="993" w:type="dxa"/>
            <w:shd w:val="clear" w:color="000000" w:fill="C0C0C0"/>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5599</w:t>
            </w:r>
          </w:p>
        </w:tc>
        <w:tc>
          <w:tcPr>
            <w:tcW w:w="1134" w:type="dxa"/>
            <w:shd w:val="clear" w:color="000000" w:fill="C0C0C0"/>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2200</w:t>
            </w:r>
          </w:p>
        </w:tc>
        <w:tc>
          <w:tcPr>
            <w:tcW w:w="1134" w:type="dxa"/>
            <w:shd w:val="clear" w:color="000000" w:fill="C0C0C0"/>
            <w:vAlign w:val="center"/>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2.64</w:t>
            </w:r>
          </w:p>
        </w:tc>
        <w:tc>
          <w:tcPr>
            <w:tcW w:w="1134" w:type="dxa"/>
            <w:shd w:val="clear" w:color="000000" w:fill="C0C0C0"/>
            <w:vAlign w:val="center"/>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2.64</w:t>
            </w:r>
          </w:p>
        </w:tc>
      </w:tr>
      <w:tr w:rsidR="003012C6" w:rsidRPr="00D13284" w:rsidTr="003012C6">
        <w:trPr>
          <w:trHeight w:val="375"/>
        </w:trPr>
        <w:tc>
          <w:tcPr>
            <w:tcW w:w="1323" w:type="dxa"/>
            <w:shd w:val="clear" w:color="000000" w:fill="FFFFFF"/>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 xml:space="preserve">Total </w:t>
            </w:r>
          </w:p>
        </w:tc>
        <w:tc>
          <w:tcPr>
            <w:tcW w:w="1097" w:type="dxa"/>
            <w:shd w:val="clear" w:color="000000" w:fill="FFFFFF"/>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11202</w:t>
            </w:r>
          </w:p>
        </w:tc>
        <w:tc>
          <w:tcPr>
            <w:tcW w:w="992" w:type="dxa"/>
            <w:shd w:val="clear" w:color="000000" w:fill="FFFFFF"/>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24042</w:t>
            </w:r>
          </w:p>
        </w:tc>
        <w:tc>
          <w:tcPr>
            <w:tcW w:w="1134" w:type="dxa"/>
            <w:shd w:val="clear" w:color="000000" w:fill="FFFFFF"/>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15309</w:t>
            </w:r>
          </w:p>
        </w:tc>
        <w:tc>
          <w:tcPr>
            <w:tcW w:w="1134" w:type="dxa"/>
            <w:shd w:val="clear" w:color="000000" w:fill="FFFFFF"/>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5369</w:t>
            </w:r>
          </w:p>
        </w:tc>
        <w:tc>
          <w:tcPr>
            <w:tcW w:w="993" w:type="dxa"/>
            <w:shd w:val="clear" w:color="000000" w:fill="FFFFFF"/>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10579</w:t>
            </w:r>
          </w:p>
        </w:tc>
        <w:tc>
          <w:tcPr>
            <w:tcW w:w="1134" w:type="dxa"/>
            <w:shd w:val="clear" w:color="000000" w:fill="FFFFFF"/>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6950</w:t>
            </w:r>
          </w:p>
        </w:tc>
        <w:tc>
          <w:tcPr>
            <w:tcW w:w="1134" w:type="dxa"/>
            <w:shd w:val="clear" w:color="000000" w:fill="FFFFFF"/>
            <w:vAlign w:val="center"/>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13.39</w:t>
            </w:r>
          </w:p>
        </w:tc>
        <w:tc>
          <w:tcPr>
            <w:tcW w:w="1134" w:type="dxa"/>
            <w:shd w:val="clear" w:color="000000" w:fill="FFFFFF"/>
            <w:vAlign w:val="center"/>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13.46</w:t>
            </w:r>
          </w:p>
        </w:tc>
      </w:tr>
    </w:tbl>
    <w:p w:rsidR="003012C6" w:rsidRPr="00D13284" w:rsidRDefault="003012C6" w:rsidP="003012C6">
      <w:pPr>
        <w:jc w:val="both"/>
        <w:rPr>
          <w:rFonts w:ascii="Calibri" w:hAnsi="Calibri" w:cs="Calibri"/>
          <w:sz w:val="22"/>
          <w:szCs w:val="22"/>
        </w:rPr>
      </w:pPr>
    </w:p>
    <w:p w:rsidR="003012C6" w:rsidRPr="00BB1D13" w:rsidRDefault="003012C6" w:rsidP="003012C6">
      <w:pPr>
        <w:pStyle w:val="Heading1"/>
        <w:numPr>
          <w:ilvl w:val="1"/>
          <w:numId w:val="1"/>
        </w:numPr>
        <w:spacing w:line="360" w:lineRule="auto"/>
        <w:jc w:val="both"/>
        <w:rPr>
          <w:bCs w:val="0"/>
          <w:sz w:val="22"/>
          <w:szCs w:val="22"/>
        </w:rPr>
      </w:pPr>
      <w:bookmarkStart w:id="39" w:name="_Toc404940163"/>
      <w:r w:rsidRPr="00BB1D13">
        <w:rPr>
          <w:bCs w:val="0"/>
          <w:sz w:val="22"/>
          <w:szCs w:val="22"/>
        </w:rPr>
        <w:t>Odisha Distribution Sector Strengthening Project (ODSSP)</w:t>
      </w:r>
      <w:bookmarkEnd w:id="39"/>
    </w:p>
    <w:p w:rsidR="003012C6" w:rsidRPr="00BB1D13" w:rsidRDefault="003012C6" w:rsidP="003012C6">
      <w:pPr>
        <w:spacing w:line="360" w:lineRule="auto"/>
        <w:jc w:val="both"/>
        <w:rPr>
          <w:rFonts w:ascii="Arial" w:hAnsi="Arial" w:cs="Arial"/>
          <w:color w:val="232323"/>
          <w:sz w:val="22"/>
          <w:szCs w:val="22"/>
        </w:rPr>
      </w:pPr>
      <w:r w:rsidRPr="00BB1D13">
        <w:rPr>
          <w:rFonts w:ascii="Arial" w:hAnsi="Arial" w:cs="Arial"/>
          <w:color w:val="232323"/>
          <w:sz w:val="22"/>
          <w:szCs w:val="22"/>
        </w:rPr>
        <w:t xml:space="preserve">A three years project for construction of 550Nos. of 33/11KV Substations in different areas of the State with the project value of Rs.2600Cr. over a period of three years i.e. forms FY2013-14 </w:t>
      </w:r>
      <w:r w:rsidRPr="00BB1D13">
        <w:rPr>
          <w:rFonts w:ascii="Arial" w:hAnsi="Arial" w:cs="Arial"/>
          <w:color w:val="232323"/>
          <w:sz w:val="22"/>
          <w:szCs w:val="22"/>
        </w:rPr>
        <w:lastRenderedPageBreak/>
        <w:t>to FY2015-16 is contemplated. DPR has been prepared for construction of 529 nos. of 33/11 KV S/s (Nesco – 114, Wesco – 145, Southco – 122 &amp; CESU - 148). The scheme outlay is under revision (Rs. 4450 Cr.) after inclusion of disaster resilient aspects in the specifications for the coastal districts.   The scheme is being implemented by OPTCL. There is a budget provision of Rs. 150 Crs. for the FY 2014-15.</w:t>
      </w:r>
    </w:p>
    <w:p w:rsidR="003012C6" w:rsidRPr="00BB1D13" w:rsidRDefault="003012C6" w:rsidP="003012C6">
      <w:pPr>
        <w:pStyle w:val="ListParagraph"/>
        <w:ind w:left="360"/>
        <w:jc w:val="both"/>
        <w:rPr>
          <w:rFonts w:ascii="Arial" w:hAnsi="Arial" w:cs="Arial"/>
          <w:i/>
          <w:u w:val="single"/>
        </w:rPr>
      </w:pPr>
      <w:r w:rsidRPr="00BB1D13">
        <w:rPr>
          <w:rFonts w:ascii="Arial" w:hAnsi="Arial" w:cs="Arial"/>
          <w:color w:val="232323"/>
          <w:u w:val="single"/>
        </w:rPr>
        <w:t>Physical Progress as on 31.10.2014</w:t>
      </w:r>
      <w:r w:rsidRPr="00BB1D13">
        <w:rPr>
          <w:rFonts w:ascii="Arial" w:hAnsi="Arial" w:cs="Arial"/>
          <w:i/>
        </w:rPr>
        <w:t>(Rs. in Crores)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9"/>
        <w:gridCol w:w="1379"/>
        <w:gridCol w:w="1798"/>
        <w:gridCol w:w="1622"/>
        <w:gridCol w:w="1458"/>
      </w:tblGrid>
      <w:tr w:rsidR="003012C6" w:rsidRPr="005A34B7" w:rsidTr="003012C6">
        <w:tc>
          <w:tcPr>
            <w:tcW w:w="1609" w:type="dxa"/>
            <w:shd w:val="clear" w:color="auto" w:fill="FFFFCC"/>
            <w:vAlign w:val="center"/>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DISCOM</w:t>
            </w:r>
          </w:p>
        </w:tc>
        <w:tc>
          <w:tcPr>
            <w:tcW w:w="1379" w:type="dxa"/>
            <w:shd w:val="clear" w:color="auto" w:fill="FFFFCC"/>
            <w:vAlign w:val="center"/>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Total No of S/s Proposed</w:t>
            </w:r>
          </w:p>
        </w:tc>
        <w:tc>
          <w:tcPr>
            <w:tcW w:w="1798" w:type="dxa"/>
            <w:shd w:val="clear" w:color="auto" w:fill="FFFFCC"/>
            <w:vAlign w:val="center"/>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Tender Floated</w:t>
            </w:r>
          </w:p>
        </w:tc>
        <w:tc>
          <w:tcPr>
            <w:tcW w:w="1622" w:type="dxa"/>
            <w:shd w:val="clear" w:color="auto" w:fill="FFFFCC"/>
            <w:vAlign w:val="center"/>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Work Order issued</w:t>
            </w:r>
          </w:p>
        </w:tc>
        <w:tc>
          <w:tcPr>
            <w:tcW w:w="1458" w:type="dxa"/>
            <w:shd w:val="clear" w:color="auto" w:fill="FFFFCC"/>
            <w:vAlign w:val="center"/>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Funds Released  to OPTCL</w:t>
            </w:r>
          </w:p>
        </w:tc>
      </w:tr>
      <w:tr w:rsidR="003012C6" w:rsidRPr="005A34B7" w:rsidTr="003012C6">
        <w:tc>
          <w:tcPr>
            <w:tcW w:w="1609" w:type="dxa"/>
            <w:shd w:val="clear" w:color="auto" w:fill="DDD9C3"/>
          </w:tcPr>
          <w:p w:rsidR="003012C6" w:rsidRPr="005A34B7" w:rsidRDefault="003012C6" w:rsidP="003012C6">
            <w:pPr>
              <w:spacing w:line="276" w:lineRule="auto"/>
              <w:jc w:val="both"/>
              <w:rPr>
                <w:rFonts w:ascii="Calibri" w:hAnsi="Calibri" w:cs="Calibri"/>
                <w:color w:val="232323"/>
                <w:sz w:val="22"/>
                <w:szCs w:val="22"/>
              </w:rPr>
            </w:pPr>
            <w:r w:rsidRPr="005A34B7">
              <w:rPr>
                <w:rFonts w:ascii="Calibri" w:hAnsi="Calibri" w:cs="Calibri"/>
                <w:color w:val="232323"/>
                <w:sz w:val="22"/>
                <w:szCs w:val="22"/>
              </w:rPr>
              <w:t>NESCO</w:t>
            </w:r>
          </w:p>
        </w:tc>
        <w:tc>
          <w:tcPr>
            <w:tcW w:w="1379" w:type="dxa"/>
            <w:shd w:val="clear" w:color="auto" w:fill="DDD9C3"/>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114</w:t>
            </w:r>
          </w:p>
        </w:tc>
        <w:tc>
          <w:tcPr>
            <w:tcW w:w="1798" w:type="dxa"/>
            <w:shd w:val="clear" w:color="auto" w:fill="DDD9C3"/>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114</w:t>
            </w:r>
          </w:p>
        </w:tc>
        <w:tc>
          <w:tcPr>
            <w:tcW w:w="1622" w:type="dxa"/>
            <w:shd w:val="clear" w:color="auto" w:fill="DDD9C3"/>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52</w:t>
            </w:r>
          </w:p>
        </w:tc>
        <w:tc>
          <w:tcPr>
            <w:tcW w:w="1458" w:type="dxa"/>
            <w:vMerge w:val="restart"/>
            <w:vAlign w:val="center"/>
          </w:tcPr>
          <w:p w:rsidR="003012C6" w:rsidRPr="005A34B7" w:rsidRDefault="003012C6" w:rsidP="003012C6">
            <w:pPr>
              <w:spacing w:line="276" w:lineRule="auto"/>
              <w:jc w:val="center"/>
              <w:rPr>
                <w:rFonts w:ascii="Calibri" w:hAnsi="Calibri" w:cs="Calibri"/>
                <w:color w:val="232323"/>
                <w:sz w:val="22"/>
                <w:szCs w:val="22"/>
                <w:highlight w:val="yellow"/>
              </w:rPr>
            </w:pPr>
            <w:r w:rsidRPr="005A34B7">
              <w:rPr>
                <w:rFonts w:ascii="Calibri" w:hAnsi="Calibri" w:cs="Calibri"/>
                <w:color w:val="232323"/>
                <w:sz w:val="22"/>
                <w:szCs w:val="22"/>
              </w:rPr>
              <w:t>200.00</w:t>
            </w:r>
          </w:p>
        </w:tc>
      </w:tr>
      <w:tr w:rsidR="003012C6" w:rsidRPr="005A34B7" w:rsidTr="003012C6">
        <w:tc>
          <w:tcPr>
            <w:tcW w:w="1609" w:type="dxa"/>
          </w:tcPr>
          <w:p w:rsidR="003012C6" w:rsidRPr="005A34B7" w:rsidRDefault="003012C6" w:rsidP="003012C6">
            <w:pPr>
              <w:spacing w:line="276" w:lineRule="auto"/>
              <w:jc w:val="both"/>
              <w:rPr>
                <w:rFonts w:ascii="Calibri" w:hAnsi="Calibri" w:cs="Calibri"/>
                <w:color w:val="232323"/>
                <w:sz w:val="22"/>
                <w:szCs w:val="22"/>
              </w:rPr>
            </w:pPr>
            <w:r w:rsidRPr="005A34B7">
              <w:rPr>
                <w:rFonts w:ascii="Calibri" w:hAnsi="Calibri" w:cs="Calibri"/>
                <w:color w:val="232323"/>
                <w:sz w:val="22"/>
                <w:szCs w:val="22"/>
              </w:rPr>
              <w:t>WESCO</w:t>
            </w:r>
          </w:p>
        </w:tc>
        <w:tc>
          <w:tcPr>
            <w:tcW w:w="1379" w:type="dxa"/>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145</w:t>
            </w:r>
          </w:p>
        </w:tc>
        <w:tc>
          <w:tcPr>
            <w:tcW w:w="1798" w:type="dxa"/>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145</w:t>
            </w:r>
          </w:p>
        </w:tc>
        <w:tc>
          <w:tcPr>
            <w:tcW w:w="1622" w:type="dxa"/>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101</w:t>
            </w:r>
          </w:p>
        </w:tc>
        <w:tc>
          <w:tcPr>
            <w:tcW w:w="1458" w:type="dxa"/>
            <w:vMerge/>
          </w:tcPr>
          <w:p w:rsidR="003012C6" w:rsidRPr="005A34B7" w:rsidRDefault="003012C6" w:rsidP="003012C6">
            <w:pPr>
              <w:spacing w:line="276" w:lineRule="auto"/>
              <w:jc w:val="both"/>
              <w:rPr>
                <w:rFonts w:ascii="Calibri" w:hAnsi="Calibri" w:cs="Calibri"/>
                <w:color w:val="232323"/>
                <w:sz w:val="22"/>
                <w:szCs w:val="22"/>
              </w:rPr>
            </w:pPr>
          </w:p>
        </w:tc>
      </w:tr>
      <w:tr w:rsidR="003012C6" w:rsidRPr="005A34B7" w:rsidTr="003012C6">
        <w:tc>
          <w:tcPr>
            <w:tcW w:w="1609" w:type="dxa"/>
            <w:shd w:val="clear" w:color="auto" w:fill="DDD9C3"/>
          </w:tcPr>
          <w:p w:rsidR="003012C6" w:rsidRPr="005A34B7" w:rsidRDefault="003012C6" w:rsidP="003012C6">
            <w:pPr>
              <w:spacing w:line="276" w:lineRule="auto"/>
              <w:jc w:val="both"/>
              <w:rPr>
                <w:rFonts w:ascii="Calibri" w:hAnsi="Calibri" w:cs="Calibri"/>
                <w:color w:val="232323"/>
                <w:sz w:val="22"/>
                <w:szCs w:val="22"/>
              </w:rPr>
            </w:pPr>
            <w:r w:rsidRPr="005A34B7">
              <w:rPr>
                <w:rFonts w:ascii="Calibri" w:hAnsi="Calibri" w:cs="Calibri"/>
                <w:color w:val="232323"/>
                <w:sz w:val="22"/>
                <w:szCs w:val="22"/>
              </w:rPr>
              <w:t>SOUTHCO</w:t>
            </w:r>
          </w:p>
        </w:tc>
        <w:tc>
          <w:tcPr>
            <w:tcW w:w="1379" w:type="dxa"/>
            <w:shd w:val="clear" w:color="auto" w:fill="DDD9C3"/>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122</w:t>
            </w:r>
          </w:p>
        </w:tc>
        <w:tc>
          <w:tcPr>
            <w:tcW w:w="1798" w:type="dxa"/>
            <w:shd w:val="clear" w:color="auto" w:fill="DDD9C3"/>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122</w:t>
            </w:r>
          </w:p>
        </w:tc>
        <w:tc>
          <w:tcPr>
            <w:tcW w:w="1622" w:type="dxa"/>
            <w:shd w:val="clear" w:color="auto" w:fill="DDD9C3"/>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64</w:t>
            </w:r>
          </w:p>
        </w:tc>
        <w:tc>
          <w:tcPr>
            <w:tcW w:w="1458" w:type="dxa"/>
            <w:vMerge/>
          </w:tcPr>
          <w:p w:rsidR="003012C6" w:rsidRPr="005A34B7" w:rsidRDefault="003012C6" w:rsidP="003012C6">
            <w:pPr>
              <w:spacing w:line="276" w:lineRule="auto"/>
              <w:jc w:val="both"/>
              <w:rPr>
                <w:rFonts w:ascii="Calibri" w:hAnsi="Calibri" w:cs="Calibri"/>
                <w:color w:val="232323"/>
                <w:sz w:val="22"/>
                <w:szCs w:val="22"/>
              </w:rPr>
            </w:pPr>
          </w:p>
        </w:tc>
      </w:tr>
      <w:tr w:rsidR="003012C6" w:rsidRPr="005A34B7" w:rsidTr="003012C6">
        <w:tc>
          <w:tcPr>
            <w:tcW w:w="1609" w:type="dxa"/>
          </w:tcPr>
          <w:p w:rsidR="003012C6" w:rsidRPr="005A34B7" w:rsidRDefault="003012C6" w:rsidP="003012C6">
            <w:pPr>
              <w:spacing w:line="276" w:lineRule="auto"/>
              <w:jc w:val="center"/>
              <w:rPr>
                <w:rFonts w:ascii="Calibri" w:hAnsi="Calibri" w:cs="Calibri"/>
                <w:b/>
                <w:color w:val="232323"/>
                <w:sz w:val="22"/>
                <w:szCs w:val="22"/>
              </w:rPr>
            </w:pPr>
            <w:r w:rsidRPr="005A34B7">
              <w:rPr>
                <w:rFonts w:ascii="Calibri" w:hAnsi="Calibri" w:cs="Calibri"/>
                <w:b/>
                <w:color w:val="232323"/>
                <w:sz w:val="22"/>
                <w:szCs w:val="22"/>
              </w:rPr>
              <w:t>TOTAL</w:t>
            </w:r>
          </w:p>
        </w:tc>
        <w:tc>
          <w:tcPr>
            <w:tcW w:w="1379" w:type="dxa"/>
          </w:tcPr>
          <w:p w:rsidR="003012C6" w:rsidRPr="005A34B7" w:rsidRDefault="003012C6" w:rsidP="003012C6">
            <w:pPr>
              <w:spacing w:line="276" w:lineRule="auto"/>
              <w:jc w:val="center"/>
              <w:rPr>
                <w:rFonts w:ascii="Calibri" w:hAnsi="Calibri" w:cs="Calibri"/>
                <w:b/>
                <w:color w:val="232323"/>
                <w:sz w:val="22"/>
                <w:szCs w:val="22"/>
              </w:rPr>
            </w:pPr>
            <w:r w:rsidRPr="005A34B7">
              <w:rPr>
                <w:rFonts w:ascii="Calibri" w:hAnsi="Calibri" w:cs="Calibri"/>
                <w:b/>
                <w:color w:val="232323"/>
                <w:sz w:val="22"/>
                <w:szCs w:val="22"/>
              </w:rPr>
              <w:t>381</w:t>
            </w:r>
          </w:p>
        </w:tc>
        <w:tc>
          <w:tcPr>
            <w:tcW w:w="1798" w:type="dxa"/>
          </w:tcPr>
          <w:p w:rsidR="003012C6" w:rsidRPr="005A34B7" w:rsidRDefault="003012C6" w:rsidP="003012C6">
            <w:pPr>
              <w:spacing w:line="276" w:lineRule="auto"/>
              <w:jc w:val="center"/>
              <w:rPr>
                <w:rFonts w:ascii="Calibri" w:hAnsi="Calibri" w:cs="Calibri"/>
                <w:b/>
                <w:color w:val="232323"/>
                <w:sz w:val="22"/>
                <w:szCs w:val="22"/>
              </w:rPr>
            </w:pPr>
            <w:r w:rsidRPr="005A34B7">
              <w:rPr>
                <w:rFonts w:ascii="Calibri" w:hAnsi="Calibri" w:cs="Calibri"/>
                <w:b/>
                <w:color w:val="232323"/>
                <w:sz w:val="22"/>
                <w:szCs w:val="22"/>
              </w:rPr>
              <w:t>381</w:t>
            </w:r>
          </w:p>
        </w:tc>
        <w:tc>
          <w:tcPr>
            <w:tcW w:w="1622" w:type="dxa"/>
          </w:tcPr>
          <w:p w:rsidR="003012C6" w:rsidRPr="005A34B7" w:rsidRDefault="003012C6" w:rsidP="003012C6">
            <w:pPr>
              <w:spacing w:line="276" w:lineRule="auto"/>
              <w:jc w:val="center"/>
              <w:rPr>
                <w:rFonts w:ascii="Calibri" w:hAnsi="Calibri" w:cs="Calibri"/>
                <w:b/>
                <w:color w:val="232323"/>
                <w:sz w:val="22"/>
                <w:szCs w:val="22"/>
              </w:rPr>
            </w:pPr>
            <w:r w:rsidRPr="005A34B7">
              <w:rPr>
                <w:rFonts w:ascii="Calibri" w:hAnsi="Calibri" w:cs="Calibri"/>
                <w:b/>
                <w:color w:val="232323"/>
                <w:sz w:val="22"/>
                <w:szCs w:val="22"/>
              </w:rPr>
              <w:t>217</w:t>
            </w:r>
          </w:p>
        </w:tc>
        <w:tc>
          <w:tcPr>
            <w:tcW w:w="1458" w:type="dxa"/>
            <w:vMerge/>
          </w:tcPr>
          <w:p w:rsidR="003012C6" w:rsidRPr="005A34B7" w:rsidRDefault="003012C6" w:rsidP="003012C6">
            <w:pPr>
              <w:spacing w:line="276" w:lineRule="auto"/>
              <w:jc w:val="both"/>
              <w:rPr>
                <w:rFonts w:ascii="Calibri" w:hAnsi="Calibri" w:cs="Calibri"/>
                <w:color w:val="232323"/>
                <w:sz w:val="22"/>
                <w:szCs w:val="22"/>
              </w:rPr>
            </w:pPr>
          </w:p>
        </w:tc>
      </w:tr>
    </w:tbl>
    <w:p w:rsidR="003012C6" w:rsidRPr="00D13284" w:rsidRDefault="003012C6" w:rsidP="003012C6">
      <w:pPr>
        <w:pStyle w:val="NoSpacing"/>
        <w:rPr>
          <w:rFonts w:cs="Calibri"/>
        </w:rPr>
      </w:pPr>
    </w:p>
    <w:p w:rsidR="003012C6" w:rsidRPr="00BB1D13" w:rsidRDefault="003012C6" w:rsidP="003012C6">
      <w:pPr>
        <w:pStyle w:val="Heading1"/>
        <w:numPr>
          <w:ilvl w:val="1"/>
          <w:numId w:val="1"/>
        </w:numPr>
        <w:spacing w:line="360" w:lineRule="auto"/>
        <w:jc w:val="both"/>
        <w:rPr>
          <w:bCs w:val="0"/>
          <w:sz w:val="22"/>
          <w:szCs w:val="22"/>
        </w:rPr>
      </w:pPr>
      <w:bookmarkStart w:id="40" w:name="_Toc404940164"/>
      <w:r w:rsidRPr="00BB1D13">
        <w:rPr>
          <w:bCs w:val="0"/>
          <w:sz w:val="22"/>
          <w:szCs w:val="22"/>
        </w:rPr>
        <w:t>Odisha Dedicated Agriculture and Fishery Feeder (ODAFF)</w:t>
      </w:r>
      <w:bookmarkEnd w:id="40"/>
    </w:p>
    <w:p w:rsidR="003012C6" w:rsidRPr="00BB1D13" w:rsidRDefault="003012C6" w:rsidP="003012C6">
      <w:pPr>
        <w:spacing w:line="360" w:lineRule="auto"/>
        <w:jc w:val="both"/>
        <w:rPr>
          <w:rFonts w:ascii="Arial" w:hAnsi="Arial" w:cs="Arial"/>
          <w:color w:val="232323"/>
          <w:sz w:val="22"/>
          <w:szCs w:val="22"/>
        </w:rPr>
      </w:pPr>
      <w:r w:rsidRPr="00BB1D13">
        <w:rPr>
          <w:rFonts w:ascii="Arial" w:hAnsi="Arial" w:cs="Arial"/>
          <w:color w:val="232323"/>
          <w:sz w:val="22"/>
          <w:szCs w:val="22"/>
        </w:rPr>
        <w:t>The State Govt. has decided to provide dedicated electrical feeders for agriculture as well as pisciculture. The scope of work includes the 11KV trunk line feeding to the clusters shall be limited to 30Km and arrangements will be put in place in 33/11KV SS for 11KV Bay, VCB, metering etc. The total project outlay will be of Rs.1000Cr. spread in four years i.e. FY2013-14 to 2016-17. There is a budget provision of Rs. 100 Crs. in FY 2014-15. The scheme is being implemented by OPTCL who has entrusted M/s WAPCOS for carrying out survey and M/s PRDC for preparation of DPRs.</w:t>
      </w:r>
    </w:p>
    <w:p w:rsidR="003012C6" w:rsidRPr="00D13284" w:rsidRDefault="003012C6" w:rsidP="003012C6">
      <w:pPr>
        <w:pStyle w:val="NoSpacing"/>
        <w:rPr>
          <w:rFonts w:cs="Calibri"/>
        </w:rPr>
      </w:pPr>
    </w:p>
    <w:p w:rsidR="003012C6" w:rsidRPr="00BB1D13" w:rsidRDefault="003012C6" w:rsidP="003012C6">
      <w:pPr>
        <w:pStyle w:val="Heading1"/>
        <w:numPr>
          <w:ilvl w:val="1"/>
          <w:numId w:val="1"/>
        </w:numPr>
        <w:spacing w:line="360" w:lineRule="auto"/>
        <w:jc w:val="both"/>
        <w:rPr>
          <w:bCs w:val="0"/>
          <w:sz w:val="22"/>
          <w:szCs w:val="22"/>
        </w:rPr>
      </w:pPr>
      <w:bookmarkStart w:id="41" w:name="_Toc404940165"/>
      <w:r w:rsidRPr="00BB1D13">
        <w:rPr>
          <w:bCs w:val="0"/>
          <w:sz w:val="22"/>
          <w:szCs w:val="22"/>
        </w:rPr>
        <w:t>Underground cabling</w:t>
      </w:r>
      <w:bookmarkEnd w:id="41"/>
    </w:p>
    <w:p w:rsidR="003012C6" w:rsidRPr="00BB1D13" w:rsidRDefault="003012C6" w:rsidP="003012C6">
      <w:pPr>
        <w:spacing w:line="360" w:lineRule="auto"/>
        <w:jc w:val="both"/>
        <w:rPr>
          <w:rFonts w:ascii="Arial" w:hAnsi="Arial" w:cs="Arial"/>
          <w:color w:val="232323"/>
          <w:sz w:val="22"/>
          <w:szCs w:val="22"/>
        </w:rPr>
      </w:pPr>
      <w:r w:rsidRPr="00BB1D13">
        <w:rPr>
          <w:rFonts w:ascii="Arial" w:hAnsi="Arial" w:cs="Arial"/>
          <w:color w:val="232323"/>
          <w:sz w:val="22"/>
          <w:szCs w:val="22"/>
        </w:rPr>
        <w:t>Underground cabling is proposed to be implemented in Samaleswari Temple area, Sambalpur &amp; Ratha Danda area in Baripada Town in the pattern as implemented in Puri Temple Area and Lingaraj Temple area. The estimates are already submitted by WESCO &amp; NESCO to Energy Dept., GoO. The scheme is being implemented by Discoms.</w:t>
      </w:r>
    </w:p>
    <w:p w:rsidR="003012C6" w:rsidRPr="00D13284" w:rsidRDefault="003012C6" w:rsidP="003012C6">
      <w:pPr>
        <w:pStyle w:val="NoSpacing"/>
        <w:rPr>
          <w:rFonts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2240"/>
        <w:gridCol w:w="1304"/>
        <w:gridCol w:w="1276"/>
        <w:gridCol w:w="3260"/>
      </w:tblGrid>
      <w:tr w:rsidR="003012C6" w:rsidRPr="005A34B7" w:rsidTr="003012C6">
        <w:tc>
          <w:tcPr>
            <w:tcW w:w="1384" w:type="dxa"/>
            <w:vAlign w:val="center"/>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DISCOM</w:t>
            </w:r>
          </w:p>
        </w:tc>
        <w:tc>
          <w:tcPr>
            <w:tcW w:w="2240" w:type="dxa"/>
            <w:vAlign w:val="center"/>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Project Area</w:t>
            </w:r>
          </w:p>
        </w:tc>
        <w:tc>
          <w:tcPr>
            <w:tcW w:w="1304" w:type="dxa"/>
            <w:vAlign w:val="center"/>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Estimated Cost</w:t>
            </w:r>
          </w:p>
        </w:tc>
        <w:tc>
          <w:tcPr>
            <w:tcW w:w="1276" w:type="dxa"/>
            <w:vAlign w:val="center"/>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Funds Released</w:t>
            </w:r>
          </w:p>
        </w:tc>
        <w:tc>
          <w:tcPr>
            <w:tcW w:w="3260" w:type="dxa"/>
            <w:vAlign w:val="center"/>
          </w:tcPr>
          <w:p w:rsidR="003012C6" w:rsidRPr="005A34B7" w:rsidRDefault="003012C6" w:rsidP="003012C6">
            <w:pPr>
              <w:jc w:val="center"/>
              <w:rPr>
                <w:rFonts w:ascii="Calibri" w:hAnsi="Calibri" w:cs="Calibri"/>
                <w:color w:val="232323"/>
                <w:sz w:val="22"/>
                <w:szCs w:val="22"/>
              </w:rPr>
            </w:pPr>
            <w:r w:rsidRPr="005A34B7">
              <w:rPr>
                <w:rFonts w:ascii="Calibri" w:hAnsi="Calibri" w:cs="Calibri"/>
                <w:color w:val="232323"/>
                <w:sz w:val="22"/>
                <w:szCs w:val="22"/>
              </w:rPr>
              <w:t>Present Status</w:t>
            </w:r>
          </w:p>
        </w:tc>
      </w:tr>
      <w:tr w:rsidR="003012C6" w:rsidRPr="005A34B7" w:rsidTr="003012C6">
        <w:tc>
          <w:tcPr>
            <w:tcW w:w="1384" w:type="dxa"/>
            <w:vAlign w:val="center"/>
          </w:tcPr>
          <w:p w:rsidR="003012C6" w:rsidRPr="005A34B7" w:rsidRDefault="003012C6" w:rsidP="003012C6">
            <w:pPr>
              <w:spacing w:line="276" w:lineRule="auto"/>
              <w:rPr>
                <w:rFonts w:ascii="Calibri" w:hAnsi="Calibri" w:cs="Calibri"/>
                <w:color w:val="232323"/>
                <w:sz w:val="22"/>
                <w:szCs w:val="22"/>
              </w:rPr>
            </w:pPr>
            <w:r w:rsidRPr="005A34B7">
              <w:rPr>
                <w:rFonts w:ascii="Calibri" w:hAnsi="Calibri" w:cs="Calibri"/>
                <w:color w:val="232323"/>
                <w:sz w:val="22"/>
                <w:szCs w:val="22"/>
              </w:rPr>
              <w:t>NESCO</w:t>
            </w:r>
          </w:p>
        </w:tc>
        <w:tc>
          <w:tcPr>
            <w:tcW w:w="2240" w:type="dxa"/>
            <w:vAlign w:val="center"/>
          </w:tcPr>
          <w:p w:rsidR="003012C6" w:rsidRPr="005A34B7" w:rsidRDefault="003012C6" w:rsidP="003012C6">
            <w:pPr>
              <w:spacing w:line="276" w:lineRule="auto"/>
              <w:rPr>
                <w:rFonts w:ascii="Calibri" w:hAnsi="Calibri" w:cs="Calibri"/>
                <w:color w:val="232323"/>
                <w:sz w:val="22"/>
                <w:szCs w:val="22"/>
              </w:rPr>
            </w:pPr>
            <w:r w:rsidRPr="005A34B7">
              <w:rPr>
                <w:rFonts w:ascii="Calibri" w:hAnsi="Calibri" w:cs="Calibri"/>
                <w:color w:val="232323"/>
                <w:sz w:val="22"/>
                <w:szCs w:val="22"/>
              </w:rPr>
              <w:t>Ratha Danda, Baripada Town</w:t>
            </w:r>
          </w:p>
        </w:tc>
        <w:tc>
          <w:tcPr>
            <w:tcW w:w="1304" w:type="dxa"/>
            <w:vAlign w:val="center"/>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4.0</w:t>
            </w:r>
          </w:p>
        </w:tc>
        <w:tc>
          <w:tcPr>
            <w:tcW w:w="1276" w:type="dxa"/>
            <w:vAlign w:val="center"/>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NIL</w:t>
            </w:r>
          </w:p>
        </w:tc>
        <w:tc>
          <w:tcPr>
            <w:tcW w:w="3260" w:type="dxa"/>
            <w:vAlign w:val="center"/>
          </w:tcPr>
          <w:p w:rsidR="003012C6" w:rsidRPr="005A34B7" w:rsidRDefault="003012C6" w:rsidP="003012C6">
            <w:pPr>
              <w:jc w:val="center"/>
              <w:rPr>
                <w:rFonts w:ascii="Calibri" w:hAnsi="Calibri" w:cs="Calibri"/>
                <w:color w:val="232323"/>
                <w:sz w:val="22"/>
                <w:szCs w:val="22"/>
              </w:rPr>
            </w:pPr>
          </w:p>
        </w:tc>
      </w:tr>
      <w:tr w:rsidR="003012C6" w:rsidRPr="005A34B7" w:rsidTr="003012C6">
        <w:tc>
          <w:tcPr>
            <w:tcW w:w="1384" w:type="dxa"/>
            <w:vAlign w:val="center"/>
          </w:tcPr>
          <w:p w:rsidR="003012C6" w:rsidRPr="005A34B7" w:rsidRDefault="003012C6" w:rsidP="003012C6">
            <w:pPr>
              <w:spacing w:line="276" w:lineRule="auto"/>
              <w:rPr>
                <w:rFonts w:ascii="Calibri" w:hAnsi="Calibri" w:cs="Calibri"/>
                <w:color w:val="232323"/>
                <w:sz w:val="22"/>
                <w:szCs w:val="22"/>
              </w:rPr>
            </w:pPr>
            <w:r w:rsidRPr="005A34B7">
              <w:rPr>
                <w:rFonts w:ascii="Calibri" w:hAnsi="Calibri" w:cs="Calibri"/>
                <w:color w:val="232323"/>
                <w:sz w:val="22"/>
                <w:szCs w:val="22"/>
              </w:rPr>
              <w:t>WESCO</w:t>
            </w:r>
          </w:p>
        </w:tc>
        <w:tc>
          <w:tcPr>
            <w:tcW w:w="2240" w:type="dxa"/>
            <w:vAlign w:val="center"/>
          </w:tcPr>
          <w:p w:rsidR="003012C6" w:rsidRPr="005A34B7" w:rsidRDefault="003012C6" w:rsidP="003012C6">
            <w:pPr>
              <w:spacing w:line="276" w:lineRule="auto"/>
              <w:rPr>
                <w:rFonts w:ascii="Calibri" w:hAnsi="Calibri" w:cs="Calibri"/>
                <w:color w:val="232323"/>
                <w:sz w:val="22"/>
                <w:szCs w:val="22"/>
              </w:rPr>
            </w:pPr>
            <w:r w:rsidRPr="005A34B7">
              <w:rPr>
                <w:rFonts w:ascii="Calibri" w:hAnsi="Calibri" w:cs="Calibri"/>
                <w:color w:val="232323"/>
                <w:sz w:val="22"/>
                <w:szCs w:val="22"/>
              </w:rPr>
              <w:t>Samaleswari Temple, Sambalpur</w:t>
            </w:r>
          </w:p>
        </w:tc>
        <w:tc>
          <w:tcPr>
            <w:tcW w:w="1304" w:type="dxa"/>
            <w:vAlign w:val="center"/>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4.90</w:t>
            </w:r>
          </w:p>
        </w:tc>
        <w:tc>
          <w:tcPr>
            <w:tcW w:w="1276" w:type="dxa"/>
            <w:vAlign w:val="center"/>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4.88</w:t>
            </w:r>
          </w:p>
        </w:tc>
        <w:tc>
          <w:tcPr>
            <w:tcW w:w="3260" w:type="dxa"/>
            <w:vAlign w:val="center"/>
          </w:tcPr>
          <w:p w:rsidR="003012C6" w:rsidRPr="005A34B7" w:rsidRDefault="003012C6" w:rsidP="003012C6">
            <w:pPr>
              <w:jc w:val="center"/>
              <w:rPr>
                <w:rFonts w:ascii="Calibri" w:hAnsi="Calibri" w:cs="Calibri"/>
                <w:color w:val="232323"/>
                <w:sz w:val="22"/>
                <w:szCs w:val="22"/>
              </w:rPr>
            </w:pPr>
            <w:r w:rsidRPr="005A34B7">
              <w:rPr>
                <w:rFonts w:ascii="Calibri" w:hAnsi="Calibri" w:cs="Calibri"/>
                <w:color w:val="232323"/>
                <w:sz w:val="22"/>
                <w:szCs w:val="22"/>
              </w:rPr>
              <w:t>M/s S K Mohapatra has been awarded with the work. Survey is under progress</w:t>
            </w:r>
          </w:p>
        </w:tc>
      </w:tr>
      <w:tr w:rsidR="003012C6" w:rsidRPr="005A34B7" w:rsidTr="003012C6">
        <w:tc>
          <w:tcPr>
            <w:tcW w:w="3624" w:type="dxa"/>
            <w:gridSpan w:val="2"/>
            <w:vAlign w:val="center"/>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Total</w:t>
            </w:r>
          </w:p>
        </w:tc>
        <w:tc>
          <w:tcPr>
            <w:tcW w:w="1304" w:type="dxa"/>
            <w:vAlign w:val="center"/>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8.90</w:t>
            </w:r>
          </w:p>
        </w:tc>
        <w:tc>
          <w:tcPr>
            <w:tcW w:w="1276" w:type="dxa"/>
            <w:vAlign w:val="center"/>
          </w:tcPr>
          <w:p w:rsidR="003012C6" w:rsidRPr="005A34B7" w:rsidRDefault="003012C6" w:rsidP="003012C6">
            <w:pPr>
              <w:spacing w:line="276" w:lineRule="auto"/>
              <w:jc w:val="center"/>
              <w:rPr>
                <w:rFonts w:ascii="Calibri" w:hAnsi="Calibri" w:cs="Calibri"/>
                <w:color w:val="232323"/>
                <w:sz w:val="22"/>
                <w:szCs w:val="22"/>
              </w:rPr>
            </w:pPr>
            <w:r w:rsidRPr="005A34B7">
              <w:rPr>
                <w:rFonts w:ascii="Calibri" w:hAnsi="Calibri" w:cs="Calibri"/>
                <w:color w:val="232323"/>
                <w:sz w:val="22"/>
                <w:szCs w:val="22"/>
              </w:rPr>
              <w:t>4.88</w:t>
            </w:r>
          </w:p>
        </w:tc>
        <w:tc>
          <w:tcPr>
            <w:tcW w:w="3260" w:type="dxa"/>
            <w:vAlign w:val="center"/>
          </w:tcPr>
          <w:p w:rsidR="003012C6" w:rsidRPr="005A34B7" w:rsidRDefault="003012C6" w:rsidP="003012C6">
            <w:pPr>
              <w:jc w:val="center"/>
              <w:rPr>
                <w:rFonts w:ascii="Calibri" w:hAnsi="Calibri" w:cs="Calibri"/>
                <w:color w:val="232323"/>
                <w:sz w:val="22"/>
                <w:szCs w:val="22"/>
              </w:rPr>
            </w:pPr>
          </w:p>
        </w:tc>
      </w:tr>
    </w:tbl>
    <w:p w:rsidR="003012C6" w:rsidRPr="00D13284" w:rsidRDefault="003012C6" w:rsidP="003012C6">
      <w:pPr>
        <w:pStyle w:val="ListParagraph"/>
        <w:ind w:left="0"/>
        <w:jc w:val="both"/>
        <w:rPr>
          <w:rFonts w:cs="Calibri"/>
          <w:color w:val="232323"/>
        </w:rPr>
      </w:pPr>
    </w:p>
    <w:p w:rsidR="003012C6" w:rsidRPr="00D13284" w:rsidRDefault="003012C6" w:rsidP="003012C6">
      <w:pPr>
        <w:pStyle w:val="ListParagraph"/>
        <w:ind w:left="0"/>
        <w:jc w:val="both"/>
        <w:rPr>
          <w:rFonts w:cs="Calibri"/>
          <w:color w:val="FF0000"/>
        </w:rPr>
      </w:pPr>
    </w:p>
    <w:p w:rsidR="003012C6" w:rsidRPr="00BB1D13" w:rsidRDefault="003012C6" w:rsidP="003012C6">
      <w:pPr>
        <w:pStyle w:val="Heading1"/>
        <w:numPr>
          <w:ilvl w:val="1"/>
          <w:numId w:val="1"/>
        </w:numPr>
        <w:spacing w:line="360" w:lineRule="auto"/>
        <w:jc w:val="both"/>
        <w:rPr>
          <w:b w:val="0"/>
          <w:sz w:val="22"/>
          <w:szCs w:val="22"/>
        </w:rPr>
      </w:pPr>
      <w:bookmarkStart w:id="42" w:name="_Toc404940166"/>
      <w:r w:rsidRPr="00BB1D13">
        <w:rPr>
          <w:b w:val="0"/>
          <w:sz w:val="22"/>
          <w:szCs w:val="22"/>
        </w:rPr>
        <w:lastRenderedPageBreak/>
        <w:t>New Schemes</w:t>
      </w:r>
      <w:bookmarkEnd w:id="42"/>
    </w:p>
    <w:p w:rsidR="003012C6" w:rsidRPr="00BB1D13" w:rsidRDefault="003012C6" w:rsidP="003012C6">
      <w:pPr>
        <w:pStyle w:val="Heading1"/>
        <w:numPr>
          <w:ilvl w:val="2"/>
          <w:numId w:val="1"/>
        </w:numPr>
        <w:spacing w:line="360" w:lineRule="auto"/>
        <w:jc w:val="both"/>
        <w:rPr>
          <w:bCs w:val="0"/>
          <w:sz w:val="22"/>
          <w:szCs w:val="22"/>
        </w:rPr>
      </w:pPr>
      <w:bookmarkStart w:id="43" w:name="_Toc404940167"/>
      <w:r w:rsidRPr="00BB1D13">
        <w:rPr>
          <w:bCs w:val="0"/>
          <w:sz w:val="22"/>
          <w:szCs w:val="22"/>
        </w:rPr>
        <w:t>RGGVY Phase – II</w:t>
      </w:r>
      <w:bookmarkEnd w:id="43"/>
    </w:p>
    <w:p w:rsidR="003012C6" w:rsidRPr="00BB1D13" w:rsidRDefault="003012C6" w:rsidP="003012C6">
      <w:pPr>
        <w:pStyle w:val="ListParagraph"/>
        <w:spacing w:after="0" w:line="360" w:lineRule="auto"/>
        <w:ind w:left="360"/>
        <w:jc w:val="both"/>
        <w:rPr>
          <w:rFonts w:ascii="Arial" w:hAnsi="Arial" w:cs="Arial"/>
          <w:bCs/>
        </w:rPr>
      </w:pPr>
      <w:r w:rsidRPr="00BB1D13">
        <w:rPr>
          <w:rFonts w:ascii="Arial" w:hAnsi="Arial" w:cs="Arial"/>
          <w:bCs/>
        </w:rPr>
        <w:t>With an objective of saturating rural electrification programme and to provide access electricity to all households, Ministry of Power, Govt. of India extended the RGGVY scheme in the 12</w:t>
      </w:r>
      <w:r w:rsidRPr="00BB1D13">
        <w:rPr>
          <w:rFonts w:ascii="Arial" w:hAnsi="Arial" w:cs="Arial"/>
          <w:bCs/>
          <w:vertAlign w:val="superscript"/>
        </w:rPr>
        <w:t>th</w:t>
      </w:r>
      <w:r w:rsidRPr="00BB1D13">
        <w:rPr>
          <w:rFonts w:ascii="Arial" w:hAnsi="Arial" w:cs="Arial"/>
          <w:bCs/>
        </w:rPr>
        <w:t xml:space="preserve"> five year plan period as Phase-II RGGVY. </w:t>
      </w:r>
    </w:p>
    <w:p w:rsidR="003012C6" w:rsidRPr="00BB1D13" w:rsidRDefault="003012C6" w:rsidP="003012C6">
      <w:pPr>
        <w:pStyle w:val="ListParagraph"/>
        <w:spacing w:after="0" w:line="360" w:lineRule="auto"/>
        <w:ind w:left="360"/>
        <w:jc w:val="both"/>
        <w:rPr>
          <w:rFonts w:ascii="Arial" w:hAnsi="Arial" w:cs="Arial"/>
          <w:bCs/>
        </w:rPr>
      </w:pPr>
    </w:p>
    <w:p w:rsidR="003012C6" w:rsidRPr="00BB1D13" w:rsidRDefault="003012C6" w:rsidP="003012C6">
      <w:pPr>
        <w:pStyle w:val="ListParagraph"/>
        <w:spacing w:after="0" w:line="360" w:lineRule="auto"/>
        <w:ind w:left="360"/>
        <w:jc w:val="both"/>
        <w:rPr>
          <w:rFonts w:ascii="Arial" w:hAnsi="Arial" w:cs="Arial"/>
          <w:bCs/>
        </w:rPr>
      </w:pPr>
      <w:r w:rsidRPr="00BB1D13">
        <w:rPr>
          <w:rFonts w:ascii="Arial" w:hAnsi="Arial" w:cs="Arial"/>
          <w:bCs/>
        </w:rPr>
        <w:t>All the left out un-electrified &amp; partially electrified villages, habitations of population 100 &amp; above and the villages of RGGVY 11</w:t>
      </w:r>
      <w:r w:rsidRPr="00BB1D13">
        <w:rPr>
          <w:rFonts w:ascii="Arial" w:hAnsi="Arial" w:cs="Arial"/>
          <w:bCs/>
          <w:vertAlign w:val="superscript"/>
        </w:rPr>
        <w:t>th</w:t>
      </w:r>
      <w:r w:rsidRPr="00BB1D13">
        <w:rPr>
          <w:rFonts w:ascii="Arial" w:hAnsi="Arial" w:cs="Arial"/>
          <w:bCs/>
        </w:rPr>
        <w:t xml:space="preserve"> Plan which cannot be completed by 31</w:t>
      </w:r>
      <w:r w:rsidRPr="00BB1D13">
        <w:rPr>
          <w:rFonts w:ascii="Arial" w:hAnsi="Arial" w:cs="Arial"/>
          <w:bCs/>
          <w:vertAlign w:val="superscript"/>
        </w:rPr>
        <w:t>st</w:t>
      </w:r>
      <w:r w:rsidRPr="00BB1D13">
        <w:rPr>
          <w:rFonts w:ascii="Arial" w:hAnsi="Arial" w:cs="Arial"/>
          <w:bCs/>
        </w:rPr>
        <w:t xml:space="preserve"> Dec. 2014 shall be covered under Phase-II programme. The scheme provides free connection to BPL Hhs in the above categorized left out villages and in the Phase-I villages where BPL electrification is incomplete, however no additional infrastructure would be provided for household electrification in such cases. </w:t>
      </w:r>
    </w:p>
    <w:p w:rsidR="003012C6" w:rsidRPr="00BB1D13" w:rsidRDefault="003012C6" w:rsidP="003012C6">
      <w:pPr>
        <w:pStyle w:val="ListParagraph"/>
        <w:spacing w:after="0" w:line="360" w:lineRule="auto"/>
        <w:ind w:left="360"/>
        <w:jc w:val="both"/>
        <w:rPr>
          <w:rFonts w:ascii="Arial" w:hAnsi="Arial" w:cs="Arial"/>
          <w:bCs/>
        </w:rPr>
      </w:pPr>
    </w:p>
    <w:p w:rsidR="003012C6" w:rsidRPr="00BB1D13" w:rsidRDefault="003012C6" w:rsidP="003012C6">
      <w:pPr>
        <w:pStyle w:val="ListParagraph"/>
        <w:spacing w:after="0" w:line="360" w:lineRule="auto"/>
        <w:ind w:left="360"/>
        <w:jc w:val="both"/>
        <w:rPr>
          <w:rFonts w:ascii="Arial" w:hAnsi="Arial" w:cs="Arial"/>
          <w:bCs/>
        </w:rPr>
      </w:pPr>
      <w:r w:rsidRPr="00BB1D13">
        <w:rPr>
          <w:rFonts w:ascii="Arial" w:hAnsi="Arial" w:cs="Arial"/>
          <w:bCs/>
        </w:rPr>
        <w:t>Infrastructure scope remains as in the Phase-I programme i.e. creation of Rural Electricity Distribution Backbone (REDB) covering new/augmentation of 33/11 KV S/s &amp; new/augmentation of associated 33 KV line etc. and Village Electrification Infrastructure (VEI) covering 11 KV feeder lines, spur lines, distribution S/s, LT extension &amp; BPL connection etc.</w:t>
      </w:r>
    </w:p>
    <w:p w:rsidR="003012C6" w:rsidRPr="00BB1D13" w:rsidRDefault="003012C6" w:rsidP="003012C6">
      <w:pPr>
        <w:pStyle w:val="ListParagraph"/>
        <w:spacing w:after="0" w:line="360" w:lineRule="auto"/>
        <w:ind w:left="360"/>
        <w:jc w:val="both"/>
        <w:rPr>
          <w:rFonts w:ascii="Arial" w:hAnsi="Arial" w:cs="Arial"/>
          <w:bCs/>
        </w:rPr>
      </w:pPr>
    </w:p>
    <w:p w:rsidR="003012C6" w:rsidRPr="00BB1D13" w:rsidRDefault="003012C6" w:rsidP="003012C6">
      <w:pPr>
        <w:pStyle w:val="ListParagraph"/>
        <w:spacing w:after="0" w:line="360" w:lineRule="auto"/>
        <w:ind w:left="360"/>
        <w:jc w:val="both"/>
        <w:rPr>
          <w:rFonts w:ascii="Arial" w:hAnsi="Arial" w:cs="Arial"/>
          <w:bCs/>
        </w:rPr>
      </w:pPr>
      <w:r w:rsidRPr="00BB1D13">
        <w:rPr>
          <w:rFonts w:ascii="Arial" w:hAnsi="Arial" w:cs="Arial"/>
          <w:bCs/>
        </w:rPr>
        <w:t>Saturation survey &amp; DPRs have been prepared by the respective Discoms this time. Projects have already been sanctioned by REC &amp; MOP and any further revision of scope/quantity/cost would be borne by the State Govt. The Central PSUs viz. NTPC &amp; PGCIL have been entrusted with the implementation of schemes. The tendering activities are under process presently.</w:t>
      </w:r>
    </w:p>
    <w:p w:rsidR="003012C6" w:rsidRPr="00D13284" w:rsidRDefault="003012C6" w:rsidP="003012C6">
      <w:pPr>
        <w:pStyle w:val="ListParagraph"/>
        <w:spacing w:after="0" w:line="360" w:lineRule="auto"/>
        <w:ind w:left="360"/>
        <w:jc w:val="both"/>
        <w:rPr>
          <w:rFonts w:cs="Calibri"/>
          <w:bCs/>
          <w:color w:val="FF0000"/>
        </w:rPr>
      </w:pPr>
    </w:p>
    <w:tbl>
      <w:tblPr>
        <w:tblW w:w="11020"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66"/>
        <w:gridCol w:w="1011"/>
        <w:gridCol w:w="1011"/>
        <w:gridCol w:w="1062"/>
        <w:gridCol w:w="993"/>
        <w:gridCol w:w="992"/>
        <w:gridCol w:w="1134"/>
        <w:gridCol w:w="1134"/>
        <w:gridCol w:w="992"/>
        <w:gridCol w:w="1225"/>
      </w:tblGrid>
      <w:tr w:rsidR="003012C6" w:rsidRPr="00D13284" w:rsidTr="003012C6">
        <w:trPr>
          <w:trHeight w:val="510"/>
        </w:trPr>
        <w:tc>
          <w:tcPr>
            <w:tcW w:w="11020" w:type="dxa"/>
            <w:gridSpan w:val="10"/>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Sanction of RGGVY 12th Plan Projects -Approved by the Monitoring Committee</w:t>
            </w:r>
          </w:p>
        </w:tc>
      </w:tr>
      <w:tr w:rsidR="003012C6" w:rsidRPr="00D13284" w:rsidTr="003012C6">
        <w:trPr>
          <w:trHeight w:val="600"/>
        </w:trPr>
        <w:tc>
          <w:tcPr>
            <w:tcW w:w="1466" w:type="dxa"/>
            <w:vMerge w:val="restart"/>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Name of the District</w:t>
            </w:r>
          </w:p>
        </w:tc>
        <w:tc>
          <w:tcPr>
            <w:tcW w:w="1011" w:type="dxa"/>
            <w:vMerge w:val="restart"/>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UE Villages</w:t>
            </w:r>
          </w:p>
        </w:tc>
        <w:tc>
          <w:tcPr>
            <w:tcW w:w="1011" w:type="dxa"/>
            <w:vMerge w:val="restart"/>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PE Villages</w:t>
            </w:r>
          </w:p>
        </w:tc>
        <w:tc>
          <w:tcPr>
            <w:tcW w:w="1062" w:type="dxa"/>
            <w:vMerge w:val="restart"/>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Total Villages</w:t>
            </w:r>
          </w:p>
        </w:tc>
        <w:tc>
          <w:tcPr>
            <w:tcW w:w="993" w:type="dxa"/>
            <w:vMerge w:val="restart"/>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UE Habitations</w:t>
            </w:r>
          </w:p>
        </w:tc>
        <w:tc>
          <w:tcPr>
            <w:tcW w:w="992" w:type="dxa"/>
            <w:vMerge w:val="restart"/>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PE Habitations</w:t>
            </w:r>
          </w:p>
        </w:tc>
        <w:tc>
          <w:tcPr>
            <w:tcW w:w="1134" w:type="dxa"/>
            <w:vMerge w:val="restart"/>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Total Habitations</w:t>
            </w:r>
          </w:p>
        </w:tc>
        <w:tc>
          <w:tcPr>
            <w:tcW w:w="1134" w:type="dxa"/>
            <w:vMerge w:val="restart"/>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Total Rural HHS</w:t>
            </w:r>
          </w:p>
        </w:tc>
        <w:tc>
          <w:tcPr>
            <w:tcW w:w="992" w:type="dxa"/>
            <w:vMerge w:val="restart"/>
            <w:shd w:val="clear" w:color="000000" w:fill="FFFFFF"/>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Total BPL HHS</w:t>
            </w:r>
          </w:p>
        </w:tc>
        <w:tc>
          <w:tcPr>
            <w:tcW w:w="1225" w:type="dxa"/>
            <w:vMerge w:val="restart"/>
            <w:shd w:val="clear" w:color="auto" w:fill="auto"/>
            <w:vAlign w:val="center"/>
            <w:hideMark/>
          </w:tcPr>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 xml:space="preserve">Approved Project Cost </w:t>
            </w:r>
          </w:p>
          <w:p w:rsidR="003012C6" w:rsidRPr="00D13284" w:rsidRDefault="003012C6" w:rsidP="003012C6">
            <w:pPr>
              <w:jc w:val="center"/>
              <w:rPr>
                <w:rFonts w:ascii="Calibri" w:hAnsi="Calibri" w:cs="Calibri"/>
                <w:bCs/>
                <w:color w:val="000000"/>
                <w:sz w:val="22"/>
                <w:szCs w:val="22"/>
                <w:lang w:val="en-IN" w:eastAsia="en-IN"/>
              </w:rPr>
            </w:pPr>
            <w:r w:rsidRPr="00D13284">
              <w:rPr>
                <w:rFonts w:ascii="Calibri" w:hAnsi="Calibri" w:cs="Calibri"/>
                <w:bCs/>
                <w:color w:val="000000"/>
                <w:sz w:val="22"/>
                <w:szCs w:val="22"/>
                <w:lang w:val="en-IN" w:eastAsia="en-IN"/>
              </w:rPr>
              <w:t>(Rs. in Cr.)</w:t>
            </w:r>
          </w:p>
        </w:tc>
      </w:tr>
      <w:tr w:rsidR="003012C6" w:rsidRPr="00D13284" w:rsidTr="003012C6">
        <w:trPr>
          <w:trHeight w:val="300"/>
        </w:trPr>
        <w:tc>
          <w:tcPr>
            <w:tcW w:w="1466" w:type="dxa"/>
            <w:vMerge/>
            <w:vAlign w:val="center"/>
            <w:hideMark/>
          </w:tcPr>
          <w:p w:rsidR="003012C6" w:rsidRPr="00D13284" w:rsidRDefault="003012C6" w:rsidP="003012C6">
            <w:pPr>
              <w:rPr>
                <w:rFonts w:ascii="Calibri" w:hAnsi="Calibri" w:cs="Calibri"/>
                <w:b/>
                <w:bCs/>
                <w:color w:val="000000"/>
                <w:sz w:val="22"/>
                <w:szCs w:val="22"/>
                <w:lang w:val="en-IN" w:eastAsia="en-IN"/>
              </w:rPr>
            </w:pPr>
          </w:p>
        </w:tc>
        <w:tc>
          <w:tcPr>
            <w:tcW w:w="1011" w:type="dxa"/>
            <w:vMerge/>
            <w:vAlign w:val="center"/>
            <w:hideMark/>
          </w:tcPr>
          <w:p w:rsidR="003012C6" w:rsidRPr="00D13284" w:rsidRDefault="003012C6" w:rsidP="003012C6">
            <w:pPr>
              <w:rPr>
                <w:rFonts w:ascii="Calibri" w:hAnsi="Calibri" w:cs="Calibri"/>
                <w:b/>
                <w:bCs/>
                <w:color w:val="000000"/>
                <w:sz w:val="22"/>
                <w:szCs w:val="22"/>
                <w:lang w:val="en-IN" w:eastAsia="en-IN"/>
              </w:rPr>
            </w:pPr>
          </w:p>
        </w:tc>
        <w:tc>
          <w:tcPr>
            <w:tcW w:w="1011" w:type="dxa"/>
            <w:vMerge/>
            <w:vAlign w:val="center"/>
            <w:hideMark/>
          </w:tcPr>
          <w:p w:rsidR="003012C6" w:rsidRPr="00D13284" w:rsidRDefault="003012C6" w:rsidP="003012C6">
            <w:pPr>
              <w:rPr>
                <w:rFonts w:ascii="Calibri" w:hAnsi="Calibri" w:cs="Calibri"/>
                <w:b/>
                <w:bCs/>
                <w:color w:val="000000"/>
                <w:sz w:val="22"/>
                <w:szCs w:val="22"/>
                <w:lang w:val="en-IN" w:eastAsia="en-IN"/>
              </w:rPr>
            </w:pPr>
          </w:p>
        </w:tc>
        <w:tc>
          <w:tcPr>
            <w:tcW w:w="1062" w:type="dxa"/>
            <w:vMerge/>
            <w:vAlign w:val="center"/>
            <w:hideMark/>
          </w:tcPr>
          <w:p w:rsidR="003012C6" w:rsidRPr="00D13284" w:rsidRDefault="003012C6" w:rsidP="003012C6">
            <w:pPr>
              <w:rPr>
                <w:rFonts w:ascii="Calibri" w:hAnsi="Calibri" w:cs="Calibri"/>
                <w:b/>
                <w:bCs/>
                <w:color w:val="000000"/>
                <w:sz w:val="22"/>
                <w:szCs w:val="22"/>
                <w:lang w:val="en-IN" w:eastAsia="en-IN"/>
              </w:rPr>
            </w:pPr>
          </w:p>
        </w:tc>
        <w:tc>
          <w:tcPr>
            <w:tcW w:w="993" w:type="dxa"/>
            <w:vMerge/>
            <w:vAlign w:val="center"/>
            <w:hideMark/>
          </w:tcPr>
          <w:p w:rsidR="003012C6" w:rsidRPr="00D13284" w:rsidRDefault="003012C6" w:rsidP="003012C6">
            <w:pPr>
              <w:rPr>
                <w:rFonts w:ascii="Calibri" w:hAnsi="Calibri" w:cs="Calibri"/>
                <w:b/>
                <w:bCs/>
                <w:color w:val="000000"/>
                <w:sz w:val="22"/>
                <w:szCs w:val="22"/>
                <w:lang w:val="en-IN" w:eastAsia="en-IN"/>
              </w:rPr>
            </w:pPr>
          </w:p>
        </w:tc>
        <w:tc>
          <w:tcPr>
            <w:tcW w:w="992" w:type="dxa"/>
            <w:vMerge/>
            <w:vAlign w:val="center"/>
            <w:hideMark/>
          </w:tcPr>
          <w:p w:rsidR="003012C6" w:rsidRPr="00D13284" w:rsidRDefault="003012C6" w:rsidP="003012C6">
            <w:pPr>
              <w:rPr>
                <w:rFonts w:ascii="Calibri" w:hAnsi="Calibri" w:cs="Calibri"/>
                <w:b/>
                <w:bCs/>
                <w:color w:val="000000"/>
                <w:sz w:val="22"/>
                <w:szCs w:val="22"/>
                <w:lang w:val="en-IN" w:eastAsia="en-IN"/>
              </w:rPr>
            </w:pPr>
          </w:p>
        </w:tc>
        <w:tc>
          <w:tcPr>
            <w:tcW w:w="1134" w:type="dxa"/>
            <w:vMerge/>
            <w:vAlign w:val="center"/>
            <w:hideMark/>
          </w:tcPr>
          <w:p w:rsidR="003012C6" w:rsidRPr="00D13284" w:rsidRDefault="003012C6" w:rsidP="003012C6">
            <w:pPr>
              <w:rPr>
                <w:rFonts w:ascii="Calibri" w:hAnsi="Calibri" w:cs="Calibri"/>
                <w:b/>
                <w:bCs/>
                <w:color w:val="000000"/>
                <w:sz w:val="22"/>
                <w:szCs w:val="22"/>
                <w:lang w:val="en-IN" w:eastAsia="en-IN"/>
              </w:rPr>
            </w:pPr>
          </w:p>
        </w:tc>
        <w:tc>
          <w:tcPr>
            <w:tcW w:w="1134" w:type="dxa"/>
            <w:vMerge/>
            <w:vAlign w:val="center"/>
            <w:hideMark/>
          </w:tcPr>
          <w:p w:rsidR="003012C6" w:rsidRPr="00D13284" w:rsidRDefault="003012C6" w:rsidP="003012C6">
            <w:pPr>
              <w:rPr>
                <w:rFonts w:ascii="Calibri" w:hAnsi="Calibri" w:cs="Calibri"/>
                <w:b/>
                <w:bCs/>
                <w:color w:val="000000"/>
                <w:sz w:val="22"/>
                <w:szCs w:val="22"/>
                <w:lang w:val="en-IN" w:eastAsia="en-IN"/>
              </w:rPr>
            </w:pPr>
          </w:p>
        </w:tc>
        <w:tc>
          <w:tcPr>
            <w:tcW w:w="992" w:type="dxa"/>
            <w:vMerge/>
            <w:vAlign w:val="center"/>
            <w:hideMark/>
          </w:tcPr>
          <w:p w:rsidR="003012C6" w:rsidRPr="00D13284" w:rsidRDefault="003012C6" w:rsidP="003012C6">
            <w:pPr>
              <w:rPr>
                <w:rFonts w:ascii="Calibri" w:hAnsi="Calibri" w:cs="Calibri"/>
                <w:b/>
                <w:bCs/>
                <w:color w:val="000000"/>
                <w:sz w:val="22"/>
                <w:szCs w:val="22"/>
                <w:lang w:val="en-IN" w:eastAsia="en-IN"/>
              </w:rPr>
            </w:pPr>
          </w:p>
        </w:tc>
        <w:tc>
          <w:tcPr>
            <w:tcW w:w="1225" w:type="dxa"/>
            <w:vMerge/>
            <w:vAlign w:val="center"/>
            <w:hideMark/>
          </w:tcPr>
          <w:p w:rsidR="003012C6" w:rsidRPr="00D13284" w:rsidRDefault="003012C6" w:rsidP="003012C6">
            <w:pPr>
              <w:rPr>
                <w:rFonts w:ascii="Calibri" w:hAnsi="Calibri" w:cs="Calibri"/>
                <w:b/>
                <w:bCs/>
                <w:color w:val="000000"/>
                <w:sz w:val="22"/>
                <w:szCs w:val="22"/>
                <w:lang w:val="en-IN" w:eastAsia="en-IN"/>
              </w:rPr>
            </w:pPr>
          </w:p>
        </w:tc>
      </w:tr>
      <w:tr w:rsidR="003012C6" w:rsidRPr="00D13284" w:rsidTr="003012C6">
        <w:trPr>
          <w:trHeight w:hRule="exact" w:val="340"/>
        </w:trPr>
        <w:tc>
          <w:tcPr>
            <w:tcW w:w="11020" w:type="dxa"/>
            <w:gridSpan w:val="10"/>
            <w:shd w:val="clear" w:color="000000" w:fill="D8D8D8"/>
            <w:vAlign w:val="center"/>
            <w:hideMark/>
          </w:tcPr>
          <w:p w:rsidR="003012C6" w:rsidRPr="00D13284" w:rsidRDefault="003012C6" w:rsidP="003012C6">
            <w:pP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NESCO</w:t>
            </w:r>
          </w:p>
        </w:tc>
      </w:tr>
      <w:tr w:rsidR="003012C6" w:rsidRPr="00D13284" w:rsidTr="003012C6">
        <w:trPr>
          <w:trHeight w:hRule="exact" w:val="340"/>
        </w:trPr>
        <w:tc>
          <w:tcPr>
            <w:tcW w:w="1466" w:type="dxa"/>
            <w:shd w:val="clear" w:color="auto" w:fill="auto"/>
            <w:vAlign w:val="center"/>
            <w:hideMark/>
          </w:tcPr>
          <w:p w:rsidR="003012C6" w:rsidRPr="00D13284" w:rsidRDefault="003012C6" w:rsidP="003012C6">
            <w:pP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Balasore</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15</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2497</w:t>
            </w:r>
          </w:p>
        </w:tc>
        <w:tc>
          <w:tcPr>
            <w:tcW w:w="106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2512</w:t>
            </w:r>
          </w:p>
        </w:tc>
        <w:tc>
          <w:tcPr>
            <w:tcW w:w="993"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192</w:t>
            </w:r>
          </w:p>
        </w:tc>
        <w:tc>
          <w:tcPr>
            <w:tcW w:w="992" w:type="dxa"/>
            <w:shd w:val="clear" w:color="auto" w:fill="FFFFFF"/>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4044</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4236</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109149</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59493</w:t>
            </w:r>
          </w:p>
        </w:tc>
        <w:tc>
          <w:tcPr>
            <w:tcW w:w="1225"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45.09</w:t>
            </w:r>
          </w:p>
        </w:tc>
      </w:tr>
      <w:tr w:rsidR="003012C6" w:rsidRPr="00D13284" w:rsidTr="003012C6">
        <w:trPr>
          <w:trHeight w:hRule="exact" w:val="340"/>
        </w:trPr>
        <w:tc>
          <w:tcPr>
            <w:tcW w:w="1466" w:type="dxa"/>
            <w:shd w:val="clear" w:color="auto" w:fill="auto"/>
            <w:vAlign w:val="center"/>
            <w:hideMark/>
          </w:tcPr>
          <w:p w:rsidR="003012C6" w:rsidRPr="00D13284" w:rsidRDefault="003012C6" w:rsidP="003012C6">
            <w:pP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Bhadrak</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19</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1204</w:t>
            </w:r>
          </w:p>
        </w:tc>
        <w:tc>
          <w:tcPr>
            <w:tcW w:w="106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1223</w:t>
            </w:r>
          </w:p>
        </w:tc>
        <w:tc>
          <w:tcPr>
            <w:tcW w:w="993"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673</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3764</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4437</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73315</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47525</w:t>
            </w:r>
          </w:p>
        </w:tc>
        <w:tc>
          <w:tcPr>
            <w:tcW w:w="1225"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89.25</w:t>
            </w:r>
          </w:p>
        </w:tc>
      </w:tr>
      <w:tr w:rsidR="003012C6" w:rsidRPr="00D13284" w:rsidTr="003012C6">
        <w:trPr>
          <w:trHeight w:hRule="exact" w:val="340"/>
        </w:trPr>
        <w:tc>
          <w:tcPr>
            <w:tcW w:w="1466" w:type="dxa"/>
            <w:shd w:val="clear" w:color="auto" w:fill="auto"/>
            <w:vAlign w:val="center"/>
            <w:hideMark/>
          </w:tcPr>
          <w:p w:rsidR="003012C6" w:rsidRPr="00D13284" w:rsidRDefault="003012C6" w:rsidP="003012C6">
            <w:pP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Jajpur(N)</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3</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1191</w:t>
            </w:r>
          </w:p>
        </w:tc>
        <w:tc>
          <w:tcPr>
            <w:tcW w:w="106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1194</w:t>
            </w:r>
          </w:p>
        </w:tc>
        <w:tc>
          <w:tcPr>
            <w:tcW w:w="993"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56</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3661</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3717</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72677</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30250</w:t>
            </w:r>
          </w:p>
        </w:tc>
        <w:tc>
          <w:tcPr>
            <w:tcW w:w="1225"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20.90</w:t>
            </w:r>
          </w:p>
        </w:tc>
      </w:tr>
      <w:tr w:rsidR="003012C6" w:rsidRPr="00D13284" w:rsidTr="003012C6">
        <w:trPr>
          <w:trHeight w:hRule="exact" w:val="340"/>
        </w:trPr>
        <w:tc>
          <w:tcPr>
            <w:tcW w:w="1466" w:type="dxa"/>
            <w:shd w:val="clear" w:color="auto" w:fill="auto"/>
            <w:vAlign w:val="center"/>
            <w:hideMark/>
          </w:tcPr>
          <w:p w:rsidR="003012C6" w:rsidRPr="00D13284" w:rsidRDefault="003012C6" w:rsidP="003012C6">
            <w:pP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Keonjhar</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127</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1848</w:t>
            </w:r>
          </w:p>
        </w:tc>
        <w:tc>
          <w:tcPr>
            <w:tcW w:w="106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1975</w:t>
            </w:r>
          </w:p>
        </w:tc>
        <w:tc>
          <w:tcPr>
            <w:tcW w:w="993"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844</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5027</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5871</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182610</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61912</w:t>
            </w:r>
          </w:p>
        </w:tc>
        <w:tc>
          <w:tcPr>
            <w:tcW w:w="1225"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178.00</w:t>
            </w:r>
          </w:p>
        </w:tc>
      </w:tr>
      <w:tr w:rsidR="003012C6" w:rsidRPr="00D13284" w:rsidTr="003012C6">
        <w:trPr>
          <w:trHeight w:hRule="exact" w:val="340"/>
        </w:trPr>
        <w:tc>
          <w:tcPr>
            <w:tcW w:w="1466" w:type="dxa"/>
            <w:shd w:val="clear" w:color="auto" w:fill="auto"/>
            <w:vAlign w:val="center"/>
            <w:hideMark/>
          </w:tcPr>
          <w:p w:rsidR="003012C6" w:rsidRPr="00D13284" w:rsidRDefault="003012C6" w:rsidP="003012C6">
            <w:pP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Mayurbhanj</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436</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3380</w:t>
            </w:r>
          </w:p>
        </w:tc>
        <w:tc>
          <w:tcPr>
            <w:tcW w:w="106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3816</w:t>
            </w:r>
          </w:p>
        </w:tc>
        <w:tc>
          <w:tcPr>
            <w:tcW w:w="993"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3704</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4533</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8237</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291763</w:t>
            </w:r>
          </w:p>
        </w:tc>
        <w:tc>
          <w:tcPr>
            <w:tcW w:w="992" w:type="dxa"/>
            <w:shd w:val="clear" w:color="auto" w:fill="FFFFFF"/>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205661</w:t>
            </w:r>
          </w:p>
        </w:tc>
        <w:tc>
          <w:tcPr>
            <w:tcW w:w="1225"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392.09</w:t>
            </w:r>
          </w:p>
        </w:tc>
      </w:tr>
      <w:tr w:rsidR="003012C6" w:rsidRPr="00D13284" w:rsidTr="003012C6">
        <w:trPr>
          <w:trHeight w:hRule="exact" w:val="340"/>
        </w:trPr>
        <w:tc>
          <w:tcPr>
            <w:tcW w:w="1466"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Sub Total</w:t>
            </w:r>
          </w:p>
        </w:tc>
        <w:tc>
          <w:tcPr>
            <w:tcW w:w="1011"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600</w:t>
            </w:r>
          </w:p>
        </w:tc>
        <w:tc>
          <w:tcPr>
            <w:tcW w:w="1011"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10120</w:t>
            </w:r>
          </w:p>
        </w:tc>
        <w:tc>
          <w:tcPr>
            <w:tcW w:w="1062"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10720</w:t>
            </w:r>
          </w:p>
        </w:tc>
        <w:tc>
          <w:tcPr>
            <w:tcW w:w="993"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5469</w:t>
            </w:r>
          </w:p>
        </w:tc>
        <w:tc>
          <w:tcPr>
            <w:tcW w:w="992"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21029</w:t>
            </w:r>
          </w:p>
        </w:tc>
        <w:tc>
          <w:tcPr>
            <w:tcW w:w="1134"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26498</w:t>
            </w:r>
          </w:p>
        </w:tc>
        <w:tc>
          <w:tcPr>
            <w:tcW w:w="1134"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729514</w:t>
            </w:r>
          </w:p>
        </w:tc>
        <w:tc>
          <w:tcPr>
            <w:tcW w:w="992" w:type="dxa"/>
            <w:shd w:val="clear" w:color="auto" w:fill="auto"/>
            <w:vAlign w:val="center"/>
            <w:hideMark/>
          </w:tcPr>
          <w:p w:rsidR="003012C6" w:rsidRPr="00D13284" w:rsidRDefault="003012C6" w:rsidP="003012C6">
            <w:pPr>
              <w:ind w:left="-17" w:right="-58"/>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404841</w:t>
            </w:r>
          </w:p>
        </w:tc>
        <w:tc>
          <w:tcPr>
            <w:tcW w:w="1225"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725.33</w:t>
            </w:r>
          </w:p>
        </w:tc>
      </w:tr>
      <w:tr w:rsidR="003012C6" w:rsidRPr="00D13284" w:rsidTr="003012C6">
        <w:trPr>
          <w:trHeight w:hRule="exact" w:val="340"/>
        </w:trPr>
        <w:tc>
          <w:tcPr>
            <w:tcW w:w="11020" w:type="dxa"/>
            <w:gridSpan w:val="10"/>
            <w:shd w:val="clear" w:color="000000" w:fill="D8D8D8"/>
            <w:vAlign w:val="center"/>
            <w:hideMark/>
          </w:tcPr>
          <w:p w:rsidR="003012C6" w:rsidRPr="00D13284" w:rsidRDefault="003012C6" w:rsidP="003012C6">
            <w:pP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lastRenderedPageBreak/>
              <w:t>WESCO</w:t>
            </w:r>
          </w:p>
        </w:tc>
      </w:tr>
      <w:tr w:rsidR="003012C6" w:rsidRPr="00D13284" w:rsidTr="003012C6">
        <w:trPr>
          <w:trHeight w:hRule="exact" w:val="340"/>
        </w:trPr>
        <w:tc>
          <w:tcPr>
            <w:tcW w:w="1466" w:type="dxa"/>
            <w:shd w:val="clear" w:color="auto" w:fill="auto"/>
            <w:vAlign w:val="center"/>
            <w:hideMark/>
          </w:tcPr>
          <w:p w:rsidR="003012C6" w:rsidRPr="00D13284" w:rsidRDefault="003012C6" w:rsidP="003012C6">
            <w:pP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Sambalpur</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9</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1303</w:t>
            </w:r>
          </w:p>
        </w:tc>
        <w:tc>
          <w:tcPr>
            <w:tcW w:w="106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1312</w:t>
            </w:r>
          </w:p>
        </w:tc>
        <w:tc>
          <w:tcPr>
            <w:tcW w:w="993"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551</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2220</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2771</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129716</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33542</w:t>
            </w:r>
          </w:p>
        </w:tc>
        <w:tc>
          <w:tcPr>
            <w:tcW w:w="1225"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108.20</w:t>
            </w:r>
          </w:p>
        </w:tc>
      </w:tr>
      <w:tr w:rsidR="003012C6" w:rsidRPr="00D13284" w:rsidTr="003012C6">
        <w:trPr>
          <w:trHeight w:hRule="exact" w:val="340"/>
        </w:trPr>
        <w:tc>
          <w:tcPr>
            <w:tcW w:w="1466" w:type="dxa"/>
            <w:shd w:val="clear" w:color="auto" w:fill="auto"/>
            <w:vAlign w:val="center"/>
            <w:hideMark/>
          </w:tcPr>
          <w:p w:rsidR="003012C6" w:rsidRPr="00D13284" w:rsidRDefault="003012C6" w:rsidP="003012C6">
            <w:pP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Sundargarh</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148</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1362</w:t>
            </w:r>
          </w:p>
        </w:tc>
        <w:tc>
          <w:tcPr>
            <w:tcW w:w="106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1510</w:t>
            </w:r>
          </w:p>
        </w:tc>
        <w:tc>
          <w:tcPr>
            <w:tcW w:w="993"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1058</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3655</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4713</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142268</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79246</w:t>
            </w:r>
          </w:p>
        </w:tc>
        <w:tc>
          <w:tcPr>
            <w:tcW w:w="1225"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275.75</w:t>
            </w:r>
          </w:p>
        </w:tc>
      </w:tr>
      <w:tr w:rsidR="003012C6" w:rsidRPr="00D13284" w:rsidTr="003012C6">
        <w:trPr>
          <w:trHeight w:hRule="exact" w:val="340"/>
        </w:trPr>
        <w:tc>
          <w:tcPr>
            <w:tcW w:w="1466" w:type="dxa"/>
            <w:shd w:val="clear" w:color="auto" w:fill="auto"/>
            <w:vAlign w:val="center"/>
            <w:hideMark/>
          </w:tcPr>
          <w:p w:rsidR="003012C6" w:rsidRPr="00D13284" w:rsidRDefault="003012C6" w:rsidP="003012C6">
            <w:pP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Jharsuguda</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0</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351</w:t>
            </w:r>
          </w:p>
        </w:tc>
        <w:tc>
          <w:tcPr>
            <w:tcW w:w="106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351</w:t>
            </w:r>
          </w:p>
        </w:tc>
        <w:tc>
          <w:tcPr>
            <w:tcW w:w="993"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187</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1190</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1377</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53626</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12415</w:t>
            </w:r>
          </w:p>
        </w:tc>
        <w:tc>
          <w:tcPr>
            <w:tcW w:w="1225"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66.83</w:t>
            </w:r>
          </w:p>
        </w:tc>
      </w:tr>
      <w:tr w:rsidR="003012C6" w:rsidRPr="00D13284" w:rsidTr="003012C6">
        <w:trPr>
          <w:trHeight w:hRule="exact" w:val="340"/>
        </w:trPr>
        <w:tc>
          <w:tcPr>
            <w:tcW w:w="1466" w:type="dxa"/>
            <w:shd w:val="clear" w:color="auto" w:fill="auto"/>
            <w:vAlign w:val="center"/>
            <w:hideMark/>
          </w:tcPr>
          <w:p w:rsidR="003012C6" w:rsidRPr="00D13284" w:rsidRDefault="003012C6" w:rsidP="003012C6">
            <w:pP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Bargarh</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5</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1193</w:t>
            </w:r>
          </w:p>
        </w:tc>
        <w:tc>
          <w:tcPr>
            <w:tcW w:w="106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1198</w:t>
            </w:r>
          </w:p>
        </w:tc>
        <w:tc>
          <w:tcPr>
            <w:tcW w:w="993"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277</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3002</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3279</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210926</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49244</w:t>
            </w:r>
          </w:p>
        </w:tc>
        <w:tc>
          <w:tcPr>
            <w:tcW w:w="1225"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175.35</w:t>
            </w:r>
          </w:p>
        </w:tc>
      </w:tr>
      <w:tr w:rsidR="003012C6" w:rsidRPr="00D13284" w:rsidTr="003012C6">
        <w:trPr>
          <w:trHeight w:hRule="exact" w:val="340"/>
        </w:trPr>
        <w:tc>
          <w:tcPr>
            <w:tcW w:w="1466" w:type="dxa"/>
            <w:shd w:val="clear" w:color="auto" w:fill="auto"/>
            <w:vAlign w:val="center"/>
            <w:hideMark/>
          </w:tcPr>
          <w:p w:rsidR="003012C6" w:rsidRPr="00D13284" w:rsidRDefault="003012C6" w:rsidP="003012C6">
            <w:pP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Deogarh</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101</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462</w:t>
            </w:r>
          </w:p>
        </w:tc>
        <w:tc>
          <w:tcPr>
            <w:tcW w:w="106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563</w:t>
            </w:r>
          </w:p>
        </w:tc>
        <w:tc>
          <w:tcPr>
            <w:tcW w:w="993"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202</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879</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1081</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41195</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13452</w:t>
            </w:r>
          </w:p>
        </w:tc>
        <w:tc>
          <w:tcPr>
            <w:tcW w:w="1225"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33.96</w:t>
            </w:r>
          </w:p>
        </w:tc>
      </w:tr>
      <w:tr w:rsidR="003012C6" w:rsidRPr="00D13284" w:rsidTr="003012C6">
        <w:trPr>
          <w:trHeight w:hRule="exact" w:val="340"/>
        </w:trPr>
        <w:tc>
          <w:tcPr>
            <w:tcW w:w="1466" w:type="dxa"/>
            <w:shd w:val="clear" w:color="auto" w:fill="auto"/>
            <w:vAlign w:val="center"/>
            <w:hideMark/>
          </w:tcPr>
          <w:p w:rsidR="003012C6" w:rsidRPr="00D13284" w:rsidRDefault="003012C6" w:rsidP="003012C6">
            <w:pP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Balangir</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9</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1744</w:t>
            </w:r>
          </w:p>
        </w:tc>
        <w:tc>
          <w:tcPr>
            <w:tcW w:w="106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1753</w:t>
            </w:r>
          </w:p>
        </w:tc>
        <w:tc>
          <w:tcPr>
            <w:tcW w:w="993"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1227</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3289</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4516</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309688</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41310</w:t>
            </w:r>
          </w:p>
        </w:tc>
        <w:tc>
          <w:tcPr>
            <w:tcW w:w="1225"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110.60</w:t>
            </w:r>
          </w:p>
        </w:tc>
      </w:tr>
      <w:tr w:rsidR="003012C6" w:rsidRPr="00D13284" w:rsidTr="003012C6">
        <w:trPr>
          <w:trHeight w:hRule="exact" w:val="340"/>
        </w:trPr>
        <w:tc>
          <w:tcPr>
            <w:tcW w:w="1466" w:type="dxa"/>
            <w:shd w:val="clear" w:color="auto" w:fill="auto"/>
            <w:vAlign w:val="center"/>
            <w:hideMark/>
          </w:tcPr>
          <w:p w:rsidR="003012C6" w:rsidRPr="00D13284" w:rsidRDefault="003012C6" w:rsidP="003012C6">
            <w:pP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Sonepur</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110</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853</w:t>
            </w:r>
          </w:p>
        </w:tc>
        <w:tc>
          <w:tcPr>
            <w:tcW w:w="106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963</w:t>
            </w:r>
          </w:p>
        </w:tc>
        <w:tc>
          <w:tcPr>
            <w:tcW w:w="993"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825</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1421</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2246</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44206</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21332</w:t>
            </w:r>
          </w:p>
        </w:tc>
        <w:tc>
          <w:tcPr>
            <w:tcW w:w="1225"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61.23</w:t>
            </w:r>
          </w:p>
        </w:tc>
      </w:tr>
      <w:tr w:rsidR="003012C6" w:rsidRPr="00D13284" w:rsidTr="003012C6">
        <w:trPr>
          <w:trHeight w:hRule="exact" w:val="340"/>
        </w:trPr>
        <w:tc>
          <w:tcPr>
            <w:tcW w:w="1466" w:type="dxa"/>
            <w:shd w:val="clear" w:color="auto" w:fill="auto"/>
            <w:vAlign w:val="center"/>
            <w:hideMark/>
          </w:tcPr>
          <w:p w:rsidR="003012C6" w:rsidRPr="00D13284" w:rsidRDefault="003012C6" w:rsidP="003012C6">
            <w:pP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Nuapada</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69</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569</w:t>
            </w:r>
          </w:p>
        </w:tc>
        <w:tc>
          <w:tcPr>
            <w:tcW w:w="106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638</w:t>
            </w:r>
          </w:p>
        </w:tc>
        <w:tc>
          <w:tcPr>
            <w:tcW w:w="993"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870</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917</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1787</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87213</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50082</w:t>
            </w:r>
          </w:p>
        </w:tc>
        <w:tc>
          <w:tcPr>
            <w:tcW w:w="1225"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107.86</w:t>
            </w:r>
          </w:p>
        </w:tc>
      </w:tr>
      <w:tr w:rsidR="003012C6" w:rsidRPr="00D13284" w:rsidTr="003012C6">
        <w:trPr>
          <w:trHeight w:hRule="exact" w:val="340"/>
        </w:trPr>
        <w:tc>
          <w:tcPr>
            <w:tcW w:w="1466" w:type="dxa"/>
            <w:shd w:val="clear" w:color="auto" w:fill="auto"/>
            <w:vAlign w:val="center"/>
            <w:hideMark/>
          </w:tcPr>
          <w:p w:rsidR="003012C6" w:rsidRPr="00D13284" w:rsidRDefault="003012C6" w:rsidP="003012C6">
            <w:pP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Kalahandi</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184</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1665</w:t>
            </w:r>
          </w:p>
        </w:tc>
        <w:tc>
          <w:tcPr>
            <w:tcW w:w="106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1849</w:t>
            </w:r>
          </w:p>
        </w:tc>
        <w:tc>
          <w:tcPr>
            <w:tcW w:w="993"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915</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2586</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3501</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156182</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37054</w:t>
            </w:r>
          </w:p>
        </w:tc>
        <w:tc>
          <w:tcPr>
            <w:tcW w:w="1225"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143.46</w:t>
            </w:r>
          </w:p>
        </w:tc>
      </w:tr>
      <w:tr w:rsidR="003012C6" w:rsidRPr="00D13284" w:rsidTr="003012C6">
        <w:trPr>
          <w:trHeight w:hRule="exact" w:val="340"/>
        </w:trPr>
        <w:tc>
          <w:tcPr>
            <w:tcW w:w="1466"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Sub Total</w:t>
            </w:r>
          </w:p>
        </w:tc>
        <w:tc>
          <w:tcPr>
            <w:tcW w:w="1011"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635</w:t>
            </w:r>
          </w:p>
        </w:tc>
        <w:tc>
          <w:tcPr>
            <w:tcW w:w="1011"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9502</w:t>
            </w:r>
          </w:p>
        </w:tc>
        <w:tc>
          <w:tcPr>
            <w:tcW w:w="1062"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10137</w:t>
            </w:r>
          </w:p>
        </w:tc>
        <w:tc>
          <w:tcPr>
            <w:tcW w:w="993"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6112</w:t>
            </w:r>
          </w:p>
        </w:tc>
        <w:tc>
          <w:tcPr>
            <w:tcW w:w="992"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19159</w:t>
            </w:r>
          </w:p>
        </w:tc>
        <w:tc>
          <w:tcPr>
            <w:tcW w:w="1134"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25271</w:t>
            </w:r>
          </w:p>
        </w:tc>
        <w:tc>
          <w:tcPr>
            <w:tcW w:w="1134"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1175020</w:t>
            </w:r>
          </w:p>
        </w:tc>
        <w:tc>
          <w:tcPr>
            <w:tcW w:w="992" w:type="dxa"/>
            <w:shd w:val="clear" w:color="auto" w:fill="auto"/>
            <w:vAlign w:val="center"/>
            <w:hideMark/>
          </w:tcPr>
          <w:p w:rsidR="003012C6" w:rsidRPr="00D13284" w:rsidRDefault="003012C6" w:rsidP="003012C6">
            <w:pPr>
              <w:ind w:left="-48" w:right="-58"/>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337677</w:t>
            </w:r>
          </w:p>
        </w:tc>
        <w:tc>
          <w:tcPr>
            <w:tcW w:w="1225"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1083.24</w:t>
            </w:r>
          </w:p>
        </w:tc>
      </w:tr>
      <w:tr w:rsidR="003012C6" w:rsidRPr="00D13284" w:rsidTr="003012C6">
        <w:trPr>
          <w:trHeight w:hRule="exact" w:val="340"/>
        </w:trPr>
        <w:tc>
          <w:tcPr>
            <w:tcW w:w="11020" w:type="dxa"/>
            <w:gridSpan w:val="10"/>
            <w:shd w:val="clear" w:color="000000" w:fill="D8D8D8"/>
            <w:vAlign w:val="center"/>
            <w:hideMark/>
          </w:tcPr>
          <w:p w:rsidR="003012C6" w:rsidRPr="00D13284" w:rsidRDefault="003012C6" w:rsidP="003012C6">
            <w:pP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SOUTHCO</w:t>
            </w:r>
          </w:p>
        </w:tc>
      </w:tr>
      <w:tr w:rsidR="003012C6" w:rsidRPr="00D13284" w:rsidTr="003012C6">
        <w:trPr>
          <w:trHeight w:hRule="exact" w:val="340"/>
        </w:trPr>
        <w:tc>
          <w:tcPr>
            <w:tcW w:w="1466" w:type="dxa"/>
            <w:shd w:val="clear" w:color="auto" w:fill="auto"/>
            <w:vAlign w:val="center"/>
            <w:hideMark/>
          </w:tcPr>
          <w:p w:rsidR="003012C6" w:rsidRPr="00D13284" w:rsidRDefault="003012C6" w:rsidP="003012C6">
            <w:pP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Ganjam</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31</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2720</w:t>
            </w:r>
          </w:p>
        </w:tc>
        <w:tc>
          <w:tcPr>
            <w:tcW w:w="106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2751</w:t>
            </w:r>
          </w:p>
        </w:tc>
        <w:tc>
          <w:tcPr>
            <w:tcW w:w="993"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861</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3087</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3948</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315272</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153856</w:t>
            </w:r>
          </w:p>
        </w:tc>
        <w:tc>
          <w:tcPr>
            <w:tcW w:w="1225"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148.86</w:t>
            </w:r>
          </w:p>
        </w:tc>
      </w:tr>
      <w:tr w:rsidR="003012C6" w:rsidRPr="00D13284" w:rsidTr="003012C6">
        <w:trPr>
          <w:trHeight w:hRule="exact" w:val="340"/>
        </w:trPr>
        <w:tc>
          <w:tcPr>
            <w:tcW w:w="1466" w:type="dxa"/>
            <w:shd w:val="clear" w:color="auto" w:fill="auto"/>
            <w:vAlign w:val="center"/>
            <w:hideMark/>
          </w:tcPr>
          <w:p w:rsidR="003012C6" w:rsidRPr="00D13284" w:rsidRDefault="003012C6" w:rsidP="003012C6">
            <w:pP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Gajapati</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182</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1126</w:t>
            </w:r>
          </w:p>
        </w:tc>
        <w:tc>
          <w:tcPr>
            <w:tcW w:w="106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1308</w:t>
            </w:r>
          </w:p>
        </w:tc>
        <w:tc>
          <w:tcPr>
            <w:tcW w:w="993"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725</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1783</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2508</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64537</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46439</w:t>
            </w:r>
          </w:p>
        </w:tc>
        <w:tc>
          <w:tcPr>
            <w:tcW w:w="1225"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141.34</w:t>
            </w:r>
          </w:p>
        </w:tc>
      </w:tr>
      <w:tr w:rsidR="003012C6" w:rsidRPr="00D13284" w:rsidTr="003012C6">
        <w:trPr>
          <w:trHeight w:hRule="exact" w:val="340"/>
        </w:trPr>
        <w:tc>
          <w:tcPr>
            <w:tcW w:w="1466" w:type="dxa"/>
            <w:shd w:val="clear" w:color="auto" w:fill="auto"/>
            <w:vAlign w:val="center"/>
            <w:hideMark/>
          </w:tcPr>
          <w:p w:rsidR="003012C6" w:rsidRPr="00D13284" w:rsidRDefault="003012C6" w:rsidP="003012C6">
            <w:pP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Boudh</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44</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897</w:t>
            </w:r>
          </w:p>
        </w:tc>
        <w:tc>
          <w:tcPr>
            <w:tcW w:w="106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941</w:t>
            </w:r>
          </w:p>
        </w:tc>
        <w:tc>
          <w:tcPr>
            <w:tcW w:w="993"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480</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1145</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1625</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52047</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18225</w:t>
            </w:r>
          </w:p>
        </w:tc>
        <w:tc>
          <w:tcPr>
            <w:tcW w:w="1225"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40.27</w:t>
            </w:r>
          </w:p>
        </w:tc>
      </w:tr>
      <w:tr w:rsidR="003012C6" w:rsidRPr="00D13284" w:rsidTr="003012C6">
        <w:trPr>
          <w:trHeight w:hRule="exact" w:val="340"/>
        </w:trPr>
        <w:tc>
          <w:tcPr>
            <w:tcW w:w="1466" w:type="dxa"/>
            <w:shd w:val="clear" w:color="auto" w:fill="auto"/>
            <w:vAlign w:val="center"/>
            <w:hideMark/>
          </w:tcPr>
          <w:p w:rsidR="003012C6" w:rsidRPr="00D13284" w:rsidRDefault="003012C6" w:rsidP="003012C6">
            <w:pP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Nabarangpur</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190</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695</w:t>
            </w:r>
          </w:p>
        </w:tc>
        <w:tc>
          <w:tcPr>
            <w:tcW w:w="106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885</w:t>
            </w:r>
          </w:p>
        </w:tc>
        <w:tc>
          <w:tcPr>
            <w:tcW w:w="993"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1207</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1089</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2296</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176985</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54271</w:t>
            </w:r>
          </w:p>
        </w:tc>
        <w:tc>
          <w:tcPr>
            <w:tcW w:w="1225"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129.43</w:t>
            </w:r>
          </w:p>
        </w:tc>
      </w:tr>
      <w:tr w:rsidR="003012C6" w:rsidRPr="00D13284" w:rsidTr="003012C6">
        <w:trPr>
          <w:trHeight w:hRule="exact" w:val="340"/>
        </w:trPr>
        <w:tc>
          <w:tcPr>
            <w:tcW w:w="1466" w:type="dxa"/>
            <w:shd w:val="clear" w:color="000000" w:fill="FFFFFF"/>
            <w:vAlign w:val="center"/>
            <w:hideMark/>
          </w:tcPr>
          <w:p w:rsidR="003012C6" w:rsidRPr="00D13284" w:rsidRDefault="003012C6" w:rsidP="003012C6">
            <w:pP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Kandhamal</w:t>
            </w:r>
          </w:p>
        </w:tc>
        <w:tc>
          <w:tcPr>
            <w:tcW w:w="1011" w:type="dxa"/>
            <w:shd w:val="clear" w:color="000000" w:fill="FFFFFF"/>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305</w:t>
            </w:r>
          </w:p>
        </w:tc>
        <w:tc>
          <w:tcPr>
            <w:tcW w:w="1011" w:type="dxa"/>
            <w:shd w:val="clear" w:color="000000" w:fill="FFFFFF"/>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1323</w:t>
            </w:r>
          </w:p>
        </w:tc>
        <w:tc>
          <w:tcPr>
            <w:tcW w:w="1062" w:type="dxa"/>
            <w:shd w:val="clear" w:color="000000" w:fill="FFFFFF"/>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1628</w:t>
            </w:r>
          </w:p>
        </w:tc>
        <w:tc>
          <w:tcPr>
            <w:tcW w:w="993" w:type="dxa"/>
            <w:shd w:val="clear" w:color="000000" w:fill="FFFFFF"/>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1122</w:t>
            </w:r>
          </w:p>
        </w:tc>
        <w:tc>
          <w:tcPr>
            <w:tcW w:w="992" w:type="dxa"/>
            <w:shd w:val="clear" w:color="000000" w:fill="FFFFFF"/>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1436</w:t>
            </w:r>
          </w:p>
        </w:tc>
        <w:tc>
          <w:tcPr>
            <w:tcW w:w="1134" w:type="dxa"/>
            <w:shd w:val="clear" w:color="000000" w:fill="FFFFFF"/>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2558</w:t>
            </w:r>
          </w:p>
        </w:tc>
        <w:tc>
          <w:tcPr>
            <w:tcW w:w="1134" w:type="dxa"/>
            <w:shd w:val="clear" w:color="000000" w:fill="FFFFFF"/>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77983</w:t>
            </w:r>
          </w:p>
        </w:tc>
        <w:tc>
          <w:tcPr>
            <w:tcW w:w="992" w:type="dxa"/>
            <w:shd w:val="clear" w:color="000000" w:fill="FFFFFF"/>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61045</w:t>
            </w:r>
          </w:p>
        </w:tc>
        <w:tc>
          <w:tcPr>
            <w:tcW w:w="1225" w:type="dxa"/>
            <w:shd w:val="clear" w:color="000000" w:fill="FFFFFF"/>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143.22</w:t>
            </w:r>
          </w:p>
        </w:tc>
      </w:tr>
      <w:tr w:rsidR="003012C6" w:rsidRPr="00D13284" w:rsidTr="003012C6">
        <w:trPr>
          <w:trHeight w:hRule="exact" w:val="340"/>
        </w:trPr>
        <w:tc>
          <w:tcPr>
            <w:tcW w:w="1466" w:type="dxa"/>
            <w:shd w:val="clear" w:color="000000" w:fill="FFFFFF"/>
            <w:vAlign w:val="center"/>
            <w:hideMark/>
          </w:tcPr>
          <w:p w:rsidR="003012C6" w:rsidRPr="00D13284" w:rsidRDefault="003012C6" w:rsidP="003012C6">
            <w:pP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Rayagada</w:t>
            </w:r>
          </w:p>
        </w:tc>
        <w:tc>
          <w:tcPr>
            <w:tcW w:w="1011" w:type="dxa"/>
            <w:shd w:val="clear" w:color="000000" w:fill="FFFFFF"/>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356</w:t>
            </w:r>
          </w:p>
        </w:tc>
        <w:tc>
          <w:tcPr>
            <w:tcW w:w="1011" w:type="dxa"/>
            <w:shd w:val="clear" w:color="000000" w:fill="FFFFFF"/>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1357</w:t>
            </w:r>
          </w:p>
        </w:tc>
        <w:tc>
          <w:tcPr>
            <w:tcW w:w="1062" w:type="dxa"/>
            <w:shd w:val="clear" w:color="000000" w:fill="FFFFFF"/>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1713</w:t>
            </w:r>
          </w:p>
        </w:tc>
        <w:tc>
          <w:tcPr>
            <w:tcW w:w="993" w:type="dxa"/>
            <w:shd w:val="clear" w:color="000000" w:fill="FFFFFF"/>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730</w:t>
            </w:r>
          </w:p>
        </w:tc>
        <w:tc>
          <w:tcPr>
            <w:tcW w:w="992" w:type="dxa"/>
            <w:shd w:val="clear" w:color="000000" w:fill="FFFFFF"/>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1593</w:t>
            </w:r>
          </w:p>
        </w:tc>
        <w:tc>
          <w:tcPr>
            <w:tcW w:w="1134" w:type="dxa"/>
            <w:shd w:val="clear" w:color="000000" w:fill="FFFFFF"/>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2323</w:t>
            </w:r>
          </w:p>
        </w:tc>
        <w:tc>
          <w:tcPr>
            <w:tcW w:w="1134" w:type="dxa"/>
            <w:shd w:val="clear" w:color="000000" w:fill="FFFFFF"/>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102385</w:t>
            </w:r>
          </w:p>
        </w:tc>
        <w:tc>
          <w:tcPr>
            <w:tcW w:w="992" w:type="dxa"/>
            <w:shd w:val="clear" w:color="000000" w:fill="FFFFFF"/>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61176</w:t>
            </w:r>
          </w:p>
        </w:tc>
        <w:tc>
          <w:tcPr>
            <w:tcW w:w="1225" w:type="dxa"/>
            <w:shd w:val="clear" w:color="000000" w:fill="FFFFFF"/>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105.34</w:t>
            </w:r>
          </w:p>
        </w:tc>
      </w:tr>
      <w:tr w:rsidR="003012C6" w:rsidRPr="00D13284" w:rsidTr="003012C6">
        <w:trPr>
          <w:trHeight w:hRule="exact" w:val="340"/>
        </w:trPr>
        <w:tc>
          <w:tcPr>
            <w:tcW w:w="1466" w:type="dxa"/>
            <w:shd w:val="clear" w:color="auto" w:fill="auto"/>
            <w:vAlign w:val="center"/>
            <w:hideMark/>
          </w:tcPr>
          <w:p w:rsidR="003012C6" w:rsidRPr="00D13284" w:rsidRDefault="003012C6" w:rsidP="003012C6">
            <w:pP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Koraput</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257</w:t>
            </w:r>
          </w:p>
        </w:tc>
        <w:tc>
          <w:tcPr>
            <w:tcW w:w="1011"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1434</w:t>
            </w:r>
          </w:p>
        </w:tc>
        <w:tc>
          <w:tcPr>
            <w:tcW w:w="106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1691</w:t>
            </w:r>
          </w:p>
        </w:tc>
        <w:tc>
          <w:tcPr>
            <w:tcW w:w="993"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962</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2401</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3363</w:t>
            </w:r>
          </w:p>
        </w:tc>
        <w:tc>
          <w:tcPr>
            <w:tcW w:w="1134"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160286</w:t>
            </w:r>
          </w:p>
        </w:tc>
        <w:tc>
          <w:tcPr>
            <w:tcW w:w="992"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109663</w:t>
            </w:r>
          </w:p>
        </w:tc>
        <w:tc>
          <w:tcPr>
            <w:tcW w:w="1225" w:type="dxa"/>
            <w:shd w:val="clear" w:color="auto" w:fill="auto"/>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194.50</w:t>
            </w:r>
          </w:p>
        </w:tc>
      </w:tr>
      <w:tr w:rsidR="003012C6" w:rsidRPr="00D13284" w:rsidTr="003012C6">
        <w:trPr>
          <w:trHeight w:hRule="exact" w:val="340"/>
        </w:trPr>
        <w:tc>
          <w:tcPr>
            <w:tcW w:w="1466" w:type="dxa"/>
            <w:shd w:val="clear" w:color="000000" w:fill="FFFFFF"/>
            <w:vAlign w:val="center"/>
            <w:hideMark/>
          </w:tcPr>
          <w:p w:rsidR="003012C6" w:rsidRPr="00D13284" w:rsidRDefault="003012C6" w:rsidP="003012C6">
            <w:pP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Malkangir</w:t>
            </w:r>
          </w:p>
        </w:tc>
        <w:tc>
          <w:tcPr>
            <w:tcW w:w="1011" w:type="dxa"/>
            <w:shd w:val="clear" w:color="000000" w:fill="FFFFFF"/>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255</w:t>
            </w:r>
          </w:p>
        </w:tc>
        <w:tc>
          <w:tcPr>
            <w:tcW w:w="1011" w:type="dxa"/>
            <w:shd w:val="clear" w:color="000000" w:fill="FFFFFF"/>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736</w:t>
            </w:r>
          </w:p>
        </w:tc>
        <w:tc>
          <w:tcPr>
            <w:tcW w:w="1062" w:type="dxa"/>
            <w:shd w:val="clear" w:color="000000" w:fill="FFFFFF"/>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991</w:t>
            </w:r>
          </w:p>
        </w:tc>
        <w:tc>
          <w:tcPr>
            <w:tcW w:w="993" w:type="dxa"/>
            <w:shd w:val="clear" w:color="000000" w:fill="FFFFFF"/>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505</w:t>
            </w:r>
          </w:p>
        </w:tc>
        <w:tc>
          <w:tcPr>
            <w:tcW w:w="992" w:type="dxa"/>
            <w:shd w:val="clear" w:color="000000" w:fill="FFFFFF"/>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1546</w:t>
            </w:r>
          </w:p>
        </w:tc>
        <w:tc>
          <w:tcPr>
            <w:tcW w:w="1134" w:type="dxa"/>
            <w:shd w:val="clear" w:color="000000" w:fill="FFFFFF"/>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2051</w:t>
            </w:r>
          </w:p>
        </w:tc>
        <w:tc>
          <w:tcPr>
            <w:tcW w:w="1134" w:type="dxa"/>
            <w:shd w:val="clear" w:color="000000" w:fill="FFFFFF"/>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75427</w:t>
            </w:r>
          </w:p>
        </w:tc>
        <w:tc>
          <w:tcPr>
            <w:tcW w:w="992" w:type="dxa"/>
            <w:shd w:val="clear" w:color="000000" w:fill="FFFFFF"/>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32941</w:t>
            </w:r>
          </w:p>
        </w:tc>
        <w:tc>
          <w:tcPr>
            <w:tcW w:w="1225" w:type="dxa"/>
            <w:shd w:val="clear" w:color="000000" w:fill="FFFFFF"/>
            <w:vAlign w:val="center"/>
            <w:hideMark/>
          </w:tcPr>
          <w:p w:rsidR="003012C6" w:rsidRPr="00D13284" w:rsidRDefault="003012C6" w:rsidP="003012C6">
            <w:pPr>
              <w:jc w:val="center"/>
              <w:rPr>
                <w:rFonts w:ascii="Calibri" w:hAnsi="Calibri" w:cs="Calibri"/>
                <w:color w:val="000000"/>
                <w:sz w:val="22"/>
                <w:szCs w:val="22"/>
                <w:lang w:val="en-IN" w:eastAsia="en-IN"/>
              </w:rPr>
            </w:pPr>
            <w:r w:rsidRPr="00D13284">
              <w:rPr>
                <w:rFonts w:ascii="Calibri" w:hAnsi="Calibri" w:cs="Calibri"/>
                <w:color w:val="000000"/>
                <w:sz w:val="22"/>
                <w:szCs w:val="22"/>
                <w:lang w:val="en-IN" w:eastAsia="en-IN"/>
              </w:rPr>
              <w:t>76.27</w:t>
            </w:r>
          </w:p>
        </w:tc>
      </w:tr>
      <w:tr w:rsidR="003012C6" w:rsidRPr="00D13284" w:rsidTr="003012C6">
        <w:trPr>
          <w:trHeight w:hRule="exact" w:val="340"/>
        </w:trPr>
        <w:tc>
          <w:tcPr>
            <w:tcW w:w="1466"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Sub Total</w:t>
            </w:r>
          </w:p>
        </w:tc>
        <w:tc>
          <w:tcPr>
            <w:tcW w:w="1011"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1620</w:t>
            </w:r>
          </w:p>
        </w:tc>
        <w:tc>
          <w:tcPr>
            <w:tcW w:w="1011"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10288</w:t>
            </w:r>
          </w:p>
        </w:tc>
        <w:tc>
          <w:tcPr>
            <w:tcW w:w="1062"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11908</w:t>
            </w:r>
          </w:p>
        </w:tc>
        <w:tc>
          <w:tcPr>
            <w:tcW w:w="993"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6592</w:t>
            </w:r>
          </w:p>
        </w:tc>
        <w:tc>
          <w:tcPr>
            <w:tcW w:w="992"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14080</w:t>
            </w:r>
          </w:p>
        </w:tc>
        <w:tc>
          <w:tcPr>
            <w:tcW w:w="1134"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20672</w:t>
            </w:r>
          </w:p>
        </w:tc>
        <w:tc>
          <w:tcPr>
            <w:tcW w:w="1134"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1024922</w:t>
            </w:r>
          </w:p>
        </w:tc>
        <w:tc>
          <w:tcPr>
            <w:tcW w:w="992" w:type="dxa"/>
            <w:shd w:val="clear" w:color="auto" w:fill="auto"/>
            <w:vAlign w:val="center"/>
            <w:hideMark/>
          </w:tcPr>
          <w:p w:rsidR="003012C6" w:rsidRPr="00D13284" w:rsidRDefault="003012C6" w:rsidP="003012C6">
            <w:pPr>
              <w:ind w:left="-90" w:right="-114"/>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537616</w:t>
            </w:r>
          </w:p>
        </w:tc>
        <w:tc>
          <w:tcPr>
            <w:tcW w:w="1225"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979.23</w:t>
            </w:r>
          </w:p>
        </w:tc>
      </w:tr>
      <w:tr w:rsidR="003012C6" w:rsidRPr="00D13284" w:rsidTr="003012C6">
        <w:trPr>
          <w:trHeight w:hRule="exact" w:val="340"/>
        </w:trPr>
        <w:tc>
          <w:tcPr>
            <w:tcW w:w="1466"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Total</w:t>
            </w:r>
          </w:p>
        </w:tc>
        <w:tc>
          <w:tcPr>
            <w:tcW w:w="1011"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2855</w:t>
            </w:r>
          </w:p>
        </w:tc>
        <w:tc>
          <w:tcPr>
            <w:tcW w:w="1011"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29910</w:t>
            </w:r>
          </w:p>
        </w:tc>
        <w:tc>
          <w:tcPr>
            <w:tcW w:w="1062"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32765</w:t>
            </w:r>
          </w:p>
        </w:tc>
        <w:tc>
          <w:tcPr>
            <w:tcW w:w="993"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18173</w:t>
            </w:r>
          </w:p>
        </w:tc>
        <w:tc>
          <w:tcPr>
            <w:tcW w:w="992"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54268</w:t>
            </w:r>
          </w:p>
        </w:tc>
        <w:tc>
          <w:tcPr>
            <w:tcW w:w="1134"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72441</w:t>
            </w:r>
          </w:p>
        </w:tc>
        <w:tc>
          <w:tcPr>
            <w:tcW w:w="1134"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2929456</w:t>
            </w:r>
          </w:p>
        </w:tc>
        <w:tc>
          <w:tcPr>
            <w:tcW w:w="992" w:type="dxa"/>
            <w:shd w:val="clear" w:color="auto" w:fill="auto"/>
            <w:vAlign w:val="center"/>
            <w:hideMark/>
          </w:tcPr>
          <w:p w:rsidR="003012C6" w:rsidRPr="00D13284" w:rsidRDefault="003012C6" w:rsidP="003012C6">
            <w:pPr>
              <w:ind w:left="-118" w:right="-114"/>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1280134</w:t>
            </w:r>
          </w:p>
        </w:tc>
        <w:tc>
          <w:tcPr>
            <w:tcW w:w="1225" w:type="dxa"/>
            <w:shd w:val="clear" w:color="auto" w:fill="auto"/>
            <w:vAlign w:val="center"/>
            <w:hideMark/>
          </w:tcPr>
          <w:p w:rsidR="003012C6" w:rsidRPr="00D13284" w:rsidRDefault="003012C6" w:rsidP="003012C6">
            <w:pPr>
              <w:jc w:val="center"/>
              <w:rPr>
                <w:rFonts w:ascii="Calibri" w:hAnsi="Calibri" w:cs="Calibri"/>
                <w:b/>
                <w:bCs/>
                <w:color w:val="000000"/>
                <w:sz w:val="22"/>
                <w:szCs w:val="22"/>
                <w:lang w:val="en-IN" w:eastAsia="en-IN"/>
              </w:rPr>
            </w:pPr>
            <w:r w:rsidRPr="00D13284">
              <w:rPr>
                <w:rFonts w:ascii="Calibri" w:hAnsi="Calibri" w:cs="Calibri"/>
                <w:b/>
                <w:bCs/>
                <w:color w:val="000000"/>
                <w:sz w:val="22"/>
                <w:szCs w:val="22"/>
                <w:lang w:val="en-IN" w:eastAsia="en-IN"/>
              </w:rPr>
              <w:t>2787.80</w:t>
            </w:r>
          </w:p>
        </w:tc>
      </w:tr>
    </w:tbl>
    <w:p w:rsidR="003012C6" w:rsidRPr="00D13284" w:rsidRDefault="003012C6" w:rsidP="003012C6">
      <w:pPr>
        <w:pStyle w:val="ListParagraph"/>
        <w:spacing w:after="0"/>
        <w:ind w:left="360"/>
        <w:jc w:val="both"/>
        <w:rPr>
          <w:rFonts w:cs="Calibri"/>
          <w:b/>
          <w:bCs/>
        </w:rPr>
      </w:pPr>
    </w:p>
    <w:p w:rsidR="003012C6" w:rsidRPr="00BB1D13" w:rsidRDefault="003012C6" w:rsidP="003012C6">
      <w:pPr>
        <w:pStyle w:val="Heading1"/>
        <w:numPr>
          <w:ilvl w:val="2"/>
          <w:numId w:val="1"/>
        </w:numPr>
        <w:spacing w:line="360" w:lineRule="auto"/>
        <w:jc w:val="both"/>
        <w:rPr>
          <w:bCs w:val="0"/>
          <w:sz w:val="22"/>
          <w:szCs w:val="22"/>
        </w:rPr>
      </w:pPr>
      <w:bookmarkStart w:id="44" w:name="_Toc404940168"/>
      <w:r w:rsidRPr="00BB1D13">
        <w:rPr>
          <w:bCs w:val="0"/>
          <w:sz w:val="22"/>
          <w:szCs w:val="22"/>
        </w:rPr>
        <w:t>Radial to Ring Conversion Project (RRCP)</w:t>
      </w:r>
      <w:bookmarkEnd w:id="44"/>
    </w:p>
    <w:p w:rsidR="003012C6" w:rsidRPr="00BB1D13" w:rsidRDefault="003012C6" w:rsidP="003012C6">
      <w:pPr>
        <w:pStyle w:val="ListParagraph"/>
        <w:spacing w:after="0" w:line="360" w:lineRule="auto"/>
        <w:ind w:left="360"/>
        <w:jc w:val="both"/>
        <w:rPr>
          <w:rFonts w:ascii="Arial" w:hAnsi="Arial" w:cs="Arial"/>
          <w:bCs/>
        </w:rPr>
      </w:pPr>
      <w:r w:rsidRPr="00BB1D13">
        <w:rPr>
          <w:rFonts w:ascii="Arial" w:hAnsi="Arial" w:cs="Arial"/>
          <w:bCs/>
        </w:rPr>
        <w:t>The Ring Network provides better continuity of service than the radial system, with only short interruptions for switching. Hence, to provide a higher reliability of supply security, State Govt. in Energy Dept. proposed to have at least two sources of Transmission Networks &amp; Distribution Networks of supply to the distribution transformers/ Primary Sub Stations. In case of component failure from one source, supply from other source can (normally open) be restored after isolating the faulty portion. The supply restoration is quicker and is not directly depended on the fault repair time.</w:t>
      </w:r>
    </w:p>
    <w:p w:rsidR="003012C6" w:rsidRPr="00BB1D13" w:rsidRDefault="003012C6" w:rsidP="003012C6">
      <w:pPr>
        <w:pStyle w:val="NoSpacing"/>
        <w:spacing w:line="360" w:lineRule="auto"/>
        <w:jc w:val="both"/>
        <w:rPr>
          <w:rFonts w:ascii="Arial" w:hAnsi="Arial" w:cs="Arial"/>
        </w:rPr>
      </w:pPr>
    </w:p>
    <w:p w:rsidR="003012C6" w:rsidRPr="00BB1D13" w:rsidRDefault="003012C6" w:rsidP="00BB1D13">
      <w:pPr>
        <w:pStyle w:val="ListParagraph"/>
        <w:spacing w:after="0" w:line="360" w:lineRule="auto"/>
        <w:ind w:left="360"/>
        <w:jc w:val="both"/>
        <w:rPr>
          <w:rFonts w:ascii="Arial" w:hAnsi="Arial" w:cs="Arial"/>
          <w:bCs/>
        </w:rPr>
      </w:pPr>
      <w:r w:rsidRPr="00BB1D13">
        <w:rPr>
          <w:rFonts w:ascii="Arial" w:hAnsi="Arial" w:cs="Arial"/>
          <w:bCs/>
        </w:rPr>
        <w:t xml:space="preserve">The estimated project outlay is of Rs. 450 Cr. Budget provision of Rs. 1 Cr. is kept in the FY 2014-15 for detailed study, preparation of DPR and other necessary preparatory activities before taking up full-fledged implementation of the work. The scheme is envisaged to be implemented in Phase-II (FY 2019-20 to 2021-22) of the implementation programme of the umbrella scheme Odisha Power System Improvement Programme (OPSIP). </w:t>
      </w:r>
    </w:p>
    <w:p w:rsidR="003012C6" w:rsidRPr="00BB1D13" w:rsidRDefault="003012C6" w:rsidP="00BB1D13">
      <w:pPr>
        <w:pStyle w:val="ListParagraph"/>
        <w:spacing w:after="0" w:line="360" w:lineRule="auto"/>
        <w:ind w:left="360"/>
        <w:jc w:val="both"/>
        <w:rPr>
          <w:rFonts w:ascii="Arial" w:hAnsi="Arial" w:cs="Arial"/>
          <w:bCs/>
        </w:rPr>
      </w:pPr>
    </w:p>
    <w:p w:rsidR="003012C6" w:rsidRPr="00BB1D13" w:rsidRDefault="003012C6" w:rsidP="003012C6">
      <w:pPr>
        <w:pStyle w:val="Heading1"/>
        <w:numPr>
          <w:ilvl w:val="2"/>
          <w:numId w:val="1"/>
        </w:numPr>
        <w:spacing w:line="360" w:lineRule="auto"/>
        <w:jc w:val="both"/>
        <w:rPr>
          <w:bCs w:val="0"/>
          <w:sz w:val="22"/>
          <w:szCs w:val="22"/>
        </w:rPr>
      </w:pPr>
      <w:bookmarkStart w:id="45" w:name="_Toc404940169"/>
      <w:r w:rsidRPr="00BB1D13">
        <w:rPr>
          <w:bCs w:val="0"/>
          <w:sz w:val="22"/>
          <w:szCs w:val="22"/>
        </w:rPr>
        <w:lastRenderedPageBreak/>
        <w:t>Reliability Enhancement of Power Supply to District Headquarter - DHQ Scheme</w:t>
      </w:r>
      <w:bookmarkEnd w:id="45"/>
    </w:p>
    <w:p w:rsidR="003012C6" w:rsidRPr="00BB1D13" w:rsidRDefault="003012C6" w:rsidP="003012C6">
      <w:pPr>
        <w:pStyle w:val="NoSpacing"/>
        <w:spacing w:line="360" w:lineRule="auto"/>
        <w:jc w:val="both"/>
        <w:rPr>
          <w:rFonts w:ascii="Arial" w:hAnsi="Arial" w:cs="Arial"/>
        </w:rPr>
      </w:pPr>
      <w:r w:rsidRPr="00BB1D13">
        <w:rPr>
          <w:rFonts w:ascii="Arial" w:hAnsi="Arial" w:cs="Arial"/>
        </w:rPr>
        <w:t>The objective of the Scheme is to have uninterrupted and quality power supply to the district head quarters. During power outages emergency services like Hospitals, Water Supply, Communications, education, fire service and Administrative functions etc. which are mostly located &amp; operated in the District Headquarters are worst affected. In order to avoid this type of situation, it is proposed to take various steps for system improvements starting from 33KV line to Primary Substation, 11KV feeder re-conductoring/up-gradation &amp; UG cabling including LT line &amp; Distribution Transformer up-gradation so as to enhance the reliability of power in District Headquarters so that all the emergency installations in Head Quarters will not suffered from the power disruptions or restoration of power supply would be made in a minimum time.</w:t>
      </w:r>
    </w:p>
    <w:p w:rsidR="00BB1D13" w:rsidRDefault="00BB1D13" w:rsidP="003012C6">
      <w:pPr>
        <w:pStyle w:val="NoSpacing"/>
        <w:spacing w:line="360" w:lineRule="auto"/>
        <w:jc w:val="both"/>
        <w:rPr>
          <w:rFonts w:ascii="Arial" w:hAnsi="Arial" w:cs="Arial"/>
        </w:rPr>
      </w:pPr>
    </w:p>
    <w:p w:rsidR="00BB1D13" w:rsidRDefault="003012C6" w:rsidP="003012C6">
      <w:pPr>
        <w:pStyle w:val="NoSpacing"/>
        <w:spacing w:line="360" w:lineRule="auto"/>
        <w:jc w:val="both"/>
        <w:rPr>
          <w:rFonts w:ascii="Arial" w:hAnsi="Arial" w:cs="Arial"/>
        </w:rPr>
      </w:pPr>
      <w:r w:rsidRPr="00BB1D13">
        <w:rPr>
          <w:rFonts w:ascii="Arial" w:hAnsi="Arial" w:cs="Arial"/>
        </w:rPr>
        <w:t xml:space="preserve">A tentative cost estimate about Rs. 200 Crore has been prepared based on the estimated requirement of the system strengthening and separation of feeder lines based on preliminary estimates for the 30 Towns.  In order to make detailed estimate, Detailed Project Report (DPR) is required to be prepared after requisite field study and availability of components and proposed requirements at the field. Therefore, a budget provision of Rs.1Crore is kept in the FY 2014-15 for for detailed study, preparation of DPR and other necessary preparatory activities. </w:t>
      </w:r>
    </w:p>
    <w:p w:rsidR="00BB1D13" w:rsidRDefault="00BB1D13" w:rsidP="003012C6">
      <w:pPr>
        <w:pStyle w:val="NoSpacing"/>
        <w:spacing w:line="360" w:lineRule="auto"/>
        <w:jc w:val="both"/>
        <w:rPr>
          <w:rFonts w:ascii="Arial" w:hAnsi="Arial" w:cs="Arial"/>
        </w:rPr>
      </w:pPr>
    </w:p>
    <w:p w:rsidR="003012C6" w:rsidRPr="00BB1D13" w:rsidRDefault="003012C6" w:rsidP="003012C6">
      <w:pPr>
        <w:pStyle w:val="NoSpacing"/>
        <w:spacing w:line="360" w:lineRule="auto"/>
        <w:jc w:val="both"/>
        <w:rPr>
          <w:rFonts w:ascii="Arial" w:hAnsi="Arial" w:cs="Arial"/>
        </w:rPr>
      </w:pPr>
      <w:r w:rsidRPr="00BB1D13">
        <w:rPr>
          <w:rFonts w:ascii="Arial" w:hAnsi="Arial" w:cs="Arial"/>
        </w:rPr>
        <w:t xml:space="preserve">In the 1st phase Balasore and Sambalpur districts are considered. </w:t>
      </w:r>
    </w:p>
    <w:p w:rsidR="003012C6" w:rsidRPr="00D13284" w:rsidRDefault="003012C6" w:rsidP="003012C6">
      <w:pPr>
        <w:pStyle w:val="NoSpacing"/>
        <w:spacing w:line="276" w:lineRule="auto"/>
        <w:jc w:val="both"/>
        <w:rPr>
          <w:rFonts w:cs="Calibri"/>
        </w:rPr>
      </w:pPr>
    </w:p>
    <w:p w:rsidR="003012C6" w:rsidRPr="00BB1D13" w:rsidRDefault="003012C6" w:rsidP="003012C6">
      <w:pPr>
        <w:pStyle w:val="Heading1"/>
        <w:numPr>
          <w:ilvl w:val="2"/>
          <w:numId w:val="1"/>
        </w:numPr>
        <w:spacing w:line="360" w:lineRule="auto"/>
        <w:jc w:val="both"/>
        <w:rPr>
          <w:bCs w:val="0"/>
          <w:sz w:val="22"/>
          <w:szCs w:val="22"/>
        </w:rPr>
      </w:pPr>
      <w:bookmarkStart w:id="46" w:name="_Toc404940170"/>
      <w:r w:rsidRPr="00BB1D13">
        <w:rPr>
          <w:bCs w:val="0"/>
          <w:sz w:val="22"/>
          <w:szCs w:val="22"/>
        </w:rPr>
        <w:t>Disaster Response Centers (DRC)</w:t>
      </w:r>
      <w:bookmarkEnd w:id="46"/>
    </w:p>
    <w:p w:rsidR="003012C6" w:rsidRPr="00BB1D13" w:rsidRDefault="003012C6" w:rsidP="003012C6">
      <w:pPr>
        <w:pStyle w:val="NoSpacing"/>
        <w:spacing w:line="360" w:lineRule="auto"/>
        <w:jc w:val="both"/>
        <w:rPr>
          <w:rFonts w:ascii="Arial" w:hAnsi="Arial" w:cs="Arial"/>
        </w:rPr>
      </w:pPr>
      <w:r w:rsidRPr="00BB1D13">
        <w:rPr>
          <w:rFonts w:ascii="Arial" w:hAnsi="Arial" w:cs="Arial"/>
        </w:rPr>
        <w:t xml:space="preserve">Immediately after the occurrence of disasters like cyclone and floods, the dearth of the skilled manpower as well as the specific machines, tools and implements had become the bottleneck for quick restoration of electricity. Electricity being most essential need of the people and a key infrastructure for enabling the numerous other services, the lesson left by the Cyclone Phailin is the preparedness for quick restoration of the electrical network by use of skilled men, mechanized tools, implements and machine. </w:t>
      </w:r>
    </w:p>
    <w:p w:rsidR="003012C6" w:rsidRPr="00BB1D13" w:rsidRDefault="003012C6" w:rsidP="003012C6">
      <w:pPr>
        <w:pStyle w:val="NoSpacing"/>
        <w:spacing w:line="360" w:lineRule="auto"/>
        <w:jc w:val="both"/>
        <w:rPr>
          <w:rFonts w:ascii="Arial" w:hAnsi="Arial" w:cs="Arial"/>
        </w:rPr>
      </w:pPr>
    </w:p>
    <w:p w:rsidR="003012C6" w:rsidRPr="00BB1D13" w:rsidRDefault="003012C6" w:rsidP="003012C6">
      <w:pPr>
        <w:pStyle w:val="NoSpacing"/>
        <w:spacing w:line="360" w:lineRule="auto"/>
        <w:jc w:val="both"/>
        <w:rPr>
          <w:rFonts w:ascii="Arial" w:hAnsi="Arial" w:cs="Arial"/>
        </w:rPr>
      </w:pPr>
      <w:r w:rsidRPr="00BB1D13">
        <w:rPr>
          <w:rFonts w:ascii="Arial" w:hAnsi="Arial" w:cs="Arial"/>
        </w:rPr>
        <w:t xml:space="preserve">The total project outlay is estimated to be of Rs. 150 Cr. To initiate the action and finalizing the blue print for the above exercise, an amount of Rs.1 Cr. is kept in FY 2014-15 for detailed study, preparation of DPR and other necessary preparatory activities. Further details are provided under the heading organizational set up for disaster response at point no. 18.2. </w:t>
      </w:r>
    </w:p>
    <w:p w:rsidR="003012C6" w:rsidRPr="00D13284" w:rsidRDefault="003012C6" w:rsidP="003012C6">
      <w:pPr>
        <w:pStyle w:val="ListParagraph"/>
        <w:ind w:left="0"/>
        <w:jc w:val="both"/>
        <w:rPr>
          <w:rFonts w:cs="Calibri"/>
          <w:color w:val="000000"/>
        </w:rPr>
      </w:pPr>
      <w:r w:rsidRPr="00D13284">
        <w:rPr>
          <w:rFonts w:cs="Calibri"/>
          <w:color w:val="000000"/>
        </w:rPr>
        <w:tab/>
      </w:r>
    </w:p>
    <w:p w:rsidR="003012C6" w:rsidRPr="00BB1D13" w:rsidRDefault="003012C6" w:rsidP="003012C6">
      <w:pPr>
        <w:pStyle w:val="Heading1"/>
        <w:numPr>
          <w:ilvl w:val="2"/>
          <w:numId w:val="1"/>
        </w:numPr>
        <w:spacing w:line="360" w:lineRule="auto"/>
        <w:jc w:val="both"/>
        <w:rPr>
          <w:bCs w:val="0"/>
          <w:sz w:val="22"/>
          <w:szCs w:val="22"/>
        </w:rPr>
      </w:pPr>
      <w:bookmarkStart w:id="47" w:name="_Toc404940171"/>
      <w:r w:rsidRPr="00BB1D13">
        <w:rPr>
          <w:bCs w:val="0"/>
          <w:sz w:val="22"/>
          <w:szCs w:val="22"/>
        </w:rPr>
        <w:lastRenderedPageBreak/>
        <w:t>Smart GRID Project</w:t>
      </w:r>
      <w:bookmarkEnd w:id="47"/>
    </w:p>
    <w:p w:rsidR="003012C6" w:rsidRPr="00BB1D13" w:rsidRDefault="003012C6" w:rsidP="003012C6">
      <w:pPr>
        <w:pStyle w:val="NoSpacing"/>
        <w:spacing w:line="360" w:lineRule="auto"/>
        <w:jc w:val="both"/>
        <w:rPr>
          <w:rFonts w:ascii="Arial" w:hAnsi="Arial" w:cs="Arial"/>
        </w:rPr>
      </w:pPr>
      <w:r w:rsidRPr="00BB1D13">
        <w:rPr>
          <w:rFonts w:ascii="Arial" w:hAnsi="Arial" w:cs="Arial"/>
        </w:rPr>
        <w:t xml:space="preserve">The existing distribution systems of Distribution Companies in Odisha have very little or no automation which leaves a significant gap in untapped benefits for both the Distribution Companies and its end-customers. Whereas, Power Distribution utilities in rest of India are looking for more T&amp;D Automation programs as a means to achieve reliability improvements. </w:t>
      </w:r>
    </w:p>
    <w:p w:rsidR="003012C6" w:rsidRPr="00BB1D13" w:rsidRDefault="003012C6" w:rsidP="003012C6">
      <w:pPr>
        <w:pStyle w:val="NoSpacing"/>
        <w:spacing w:line="360" w:lineRule="auto"/>
        <w:jc w:val="both"/>
        <w:rPr>
          <w:rFonts w:ascii="Arial" w:hAnsi="Arial" w:cs="Arial"/>
        </w:rPr>
      </w:pPr>
    </w:p>
    <w:p w:rsidR="003012C6" w:rsidRPr="00BB1D13" w:rsidRDefault="003012C6" w:rsidP="003012C6">
      <w:pPr>
        <w:pStyle w:val="NoSpacing"/>
        <w:spacing w:line="360" w:lineRule="auto"/>
        <w:jc w:val="both"/>
        <w:rPr>
          <w:rFonts w:ascii="Arial" w:hAnsi="Arial" w:cs="Arial"/>
        </w:rPr>
      </w:pPr>
      <w:r w:rsidRPr="00BB1D13">
        <w:rPr>
          <w:rFonts w:ascii="Arial" w:hAnsi="Arial" w:cs="Arial"/>
        </w:rPr>
        <w:t xml:space="preserve">The basic guideline in SCADA is based upon developing a single power system model which shall be the foundation for all system functionality. This network model shall support all operational and analytical functions that may need to be undertaken by both operational and network planning staff, working in either the control centre or in the field. Besides, it supports both manned and unmanned mode of control. </w:t>
      </w:r>
    </w:p>
    <w:p w:rsidR="003012C6" w:rsidRPr="00BB1D13" w:rsidRDefault="003012C6" w:rsidP="003012C6">
      <w:pPr>
        <w:pStyle w:val="NoSpacing"/>
        <w:spacing w:line="360" w:lineRule="auto"/>
        <w:jc w:val="both"/>
        <w:rPr>
          <w:rFonts w:ascii="Arial" w:hAnsi="Arial" w:cs="Arial"/>
        </w:rPr>
      </w:pPr>
    </w:p>
    <w:p w:rsidR="003012C6" w:rsidRPr="00BB1D13" w:rsidRDefault="003012C6" w:rsidP="003012C6">
      <w:pPr>
        <w:pStyle w:val="NoSpacing"/>
        <w:spacing w:line="360" w:lineRule="auto"/>
        <w:jc w:val="both"/>
        <w:rPr>
          <w:rFonts w:ascii="Arial" w:hAnsi="Arial" w:cs="Arial"/>
        </w:rPr>
      </w:pPr>
      <w:r w:rsidRPr="00BB1D13">
        <w:rPr>
          <w:rFonts w:ascii="Arial" w:hAnsi="Arial" w:cs="Arial"/>
        </w:rPr>
        <w:t xml:space="preserve">The new 550 nos. of substations proposed under ODSSP would come up with Supervisory Control and Data Acquisition (SCADA) &amp; DMS system. Presently, there are about 591 nos 33/11 kV substations in Odisha which can be taken up for the SCADA and DMS. The existing 33 kV and 11 kV VCBs are to be retrofitted to make SCADA enabling. </w:t>
      </w:r>
    </w:p>
    <w:p w:rsidR="003012C6" w:rsidRPr="00BB1D13" w:rsidRDefault="003012C6" w:rsidP="003012C6">
      <w:pPr>
        <w:pStyle w:val="NoSpacing"/>
        <w:spacing w:line="360" w:lineRule="auto"/>
        <w:jc w:val="both"/>
        <w:rPr>
          <w:rFonts w:ascii="Arial" w:hAnsi="Arial" w:cs="Arial"/>
        </w:rPr>
      </w:pPr>
    </w:p>
    <w:p w:rsidR="003012C6" w:rsidRPr="00BB1D13" w:rsidRDefault="003012C6" w:rsidP="003012C6">
      <w:pPr>
        <w:pStyle w:val="NoSpacing"/>
        <w:spacing w:line="360" w:lineRule="auto"/>
        <w:jc w:val="both"/>
        <w:rPr>
          <w:rFonts w:ascii="Arial" w:hAnsi="Arial" w:cs="Arial"/>
        </w:rPr>
      </w:pPr>
      <w:r w:rsidRPr="00BB1D13">
        <w:rPr>
          <w:rFonts w:ascii="Arial" w:hAnsi="Arial" w:cs="Arial"/>
        </w:rPr>
        <w:t xml:space="preserve">A tentative cost is Rs.327Cr. for 1st phase and Rs.88Cr. for 2nd phase. In order to make detailed estimate, Detailed Project Report (DPR) is required to be prepared after requisite field study and availability of components and proposed Technology at the field. Therefore, a budget provision of Rs. 5 Cr. is kept for FY 2014-15 for detailed study, preparation of DPR, project management consultancy etc before taking up full-fledged implementation of the work. M/s PRDC has been assigned with the activity of DPR preparation for NESCO, WESCO &amp; SOUTHCO. Presently DPRs are under preparation &amp; initial scrutiny. The scheme is envisaged to be implemented in Phase-II (FY 2019-20 to 2021-22) of the implementation programme of the umbrella scheme Odisha Power System Improvement Programme (OPSIP).  </w:t>
      </w:r>
    </w:p>
    <w:p w:rsidR="003012C6" w:rsidRPr="00BB1D13" w:rsidRDefault="003012C6" w:rsidP="003012C6">
      <w:pPr>
        <w:pStyle w:val="Heading1"/>
        <w:numPr>
          <w:ilvl w:val="2"/>
          <w:numId w:val="1"/>
        </w:numPr>
        <w:spacing w:line="360" w:lineRule="auto"/>
        <w:jc w:val="both"/>
        <w:rPr>
          <w:bCs w:val="0"/>
          <w:sz w:val="22"/>
          <w:szCs w:val="22"/>
        </w:rPr>
      </w:pPr>
      <w:bookmarkStart w:id="48" w:name="_Toc404940172"/>
      <w:r w:rsidRPr="00BB1D13">
        <w:rPr>
          <w:bCs w:val="0"/>
          <w:sz w:val="22"/>
          <w:szCs w:val="22"/>
        </w:rPr>
        <w:t>Disaster Resilient HT System – in 60 Kms area from Seacoast</w:t>
      </w:r>
      <w:bookmarkEnd w:id="48"/>
    </w:p>
    <w:p w:rsidR="003012C6" w:rsidRPr="00BB1D13" w:rsidRDefault="003012C6" w:rsidP="003012C6">
      <w:pPr>
        <w:pStyle w:val="NoSpacing"/>
        <w:spacing w:line="360" w:lineRule="auto"/>
        <w:jc w:val="both"/>
        <w:rPr>
          <w:rFonts w:ascii="Arial" w:hAnsi="Arial" w:cs="Arial"/>
        </w:rPr>
      </w:pPr>
      <w:r w:rsidRPr="00BB1D13">
        <w:rPr>
          <w:rFonts w:ascii="Arial" w:hAnsi="Arial" w:cs="Arial"/>
        </w:rPr>
        <w:t>The Central, Southern and North Eastern parts of the State which share about 480 Km coastline are vulnerable to cyclone &amp; floods resulting in frequent occurrence of damages to the public and private properties and loss of lives.</w:t>
      </w:r>
    </w:p>
    <w:p w:rsidR="003012C6" w:rsidRPr="00BB1D13" w:rsidRDefault="003012C6" w:rsidP="003012C6">
      <w:pPr>
        <w:pStyle w:val="NoSpacing"/>
        <w:spacing w:line="360" w:lineRule="auto"/>
        <w:jc w:val="both"/>
        <w:rPr>
          <w:rFonts w:ascii="Arial" w:hAnsi="Arial" w:cs="Arial"/>
        </w:rPr>
      </w:pPr>
    </w:p>
    <w:p w:rsidR="003012C6" w:rsidRPr="00BB1D13" w:rsidRDefault="003012C6" w:rsidP="003012C6">
      <w:pPr>
        <w:pStyle w:val="NoSpacing"/>
        <w:spacing w:line="360" w:lineRule="auto"/>
        <w:jc w:val="both"/>
        <w:rPr>
          <w:rFonts w:ascii="Arial" w:hAnsi="Arial" w:cs="Arial"/>
        </w:rPr>
      </w:pPr>
      <w:r w:rsidRPr="00BB1D13">
        <w:rPr>
          <w:rFonts w:ascii="Arial" w:hAnsi="Arial" w:cs="Arial"/>
        </w:rPr>
        <w:t>According to various wind &amp; hazard maps published in the country, on an average 60 Kms area from the sea coast is having maximum threat of cyclone and falling under very high damage risk zone B (wind speed – 180 Km/Hr).</w:t>
      </w:r>
    </w:p>
    <w:p w:rsidR="003012C6" w:rsidRPr="00BB1D13" w:rsidRDefault="003012C6" w:rsidP="003012C6">
      <w:pPr>
        <w:pStyle w:val="NoSpacing"/>
        <w:spacing w:line="360" w:lineRule="auto"/>
        <w:jc w:val="both"/>
        <w:rPr>
          <w:rFonts w:ascii="Arial" w:hAnsi="Arial" w:cs="Arial"/>
        </w:rPr>
      </w:pPr>
    </w:p>
    <w:p w:rsidR="003012C6" w:rsidRPr="00BB1D13" w:rsidRDefault="003012C6" w:rsidP="003012C6">
      <w:pPr>
        <w:pStyle w:val="NoSpacing"/>
        <w:spacing w:line="360" w:lineRule="auto"/>
        <w:jc w:val="both"/>
        <w:rPr>
          <w:rFonts w:ascii="Arial" w:hAnsi="Arial" w:cs="Arial"/>
        </w:rPr>
      </w:pPr>
      <w:r w:rsidRPr="00BB1D13">
        <w:rPr>
          <w:rFonts w:ascii="Arial" w:hAnsi="Arial" w:cs="Arial"/>
        </w:rPr>
        <w:lastRenderedPageBreak/>
        <w:t xml:space="preserve">Under the above identified high risk zone, 4 districts of NESCO (i.e. Balasore, Bhadrak, Jajpur &amp; part of Mayurbhanj) and entire Ganjam district &amp; part of Puri district falling under SOUTHCO, are vulnerable from cyclone point of view. </w:t>
      </w:r>
    </w:p>
    <w:p w:rsidR="003012C6" w:rsidRPr="00BB1D13" w:rsidRDefault="003012C6" w:rsidP="003012C6">
      <w:pPr>
        <w:pStyle w:val="NoSpacing"/>
        <w:spacing w:line="360" w:lineRule="auto"/>
        <w:jc w:val="both"/>
        <w:rPr>
          <w:rFonts w:ascii="Arial" w:hAnsi="Arial" w:cs="Arial"/>
        </w:rPr>
      </w:pPr>
    </w:p>
    <w:p w:rsidR="003012C6" w:rsidRPr="00BB1D13" w:rsidRDefault="003012C6" w:rsidP="003012C6">
      <w:pPr>
        <w:pStyle w:val="NoSpacing"/>
        <w:spacing w:line="360" w:lineRule="auto"/>
        <w:jc w:val="both"/>
        <w:rPr>
          <w:rFonts w:ascii="Arial" w:hAnsi="Arial" w:cs="Arial"/>
        </w:rPr>
      </w:pPr>
      <w:r w:rsidRPr="00BB1D13">
        <w:rPr>
          <w:rFonts w:ascii="Arial" w:hAnsi="Arial" w:cs="Arial"/>
        </w:rPr>
        <w:t>Critical Infrastructure besides Several thousand kilometers of LT line having maximum threat in above area is detailed below;</w:t>
      </w:r>
    </w:p>
    <w:p w:rsidR="003012C6" w:rsidRPr="00D13284" w:rsidRDefault="003012C6" w:rsidP="003012C6">
      <w:pPr>
        <w:pStyle w:val="NoSpacing"/>
        <w:spacing w:line="276" w:lineRule="auto"/>
        <w:jc w:val="both"/>
        <w:rPr>
          <w:rFonts w:cs="Calibri"/>
        </w:rPr>
      </w:pPr>
    </w:p>
    <w:tbl>
      <w:tblPr>
        <w:tblW w:w="0" w:type="auto"/>
        <w:tblInd w:w="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1559"/>
        <w:gridCol w:w="1571"/>
        <w:gridCol w:w="1406"/>
        <w:gridCol w:w="1417"/>
      </w:tblGrid>
      <w:tr w:rsidR="003012C6" w:rsidRPr="00D13284" w:rsidTr="003012C6">
        <w:tc>
          <w:tcPr>
            <w:tcW w:w="1276" w:type="dxa"/>
            <w:shd w:val="clear" w:color="auto" w:fill="FFFF99"/>
            <w:vAlign w:val="center"/>
          </w:tcPr>
          <w:p w:rsidR="003012C6" w:rsidRPr="00D13284" w:rsidRDefault="003012C6" w:rsidP="003012C6">
            <w:pPr>
              <w:pStyle w:val="NoSpacing"/>
              <w:spacing w:line="276" w:lineRule="auto"/>
              <w:jc w:val="center"/>
              <w:rPr>
                <w:rFonts w:cs="Calibri"/>
              </w:rPr>
            </w:pPr>
            <w:r w:rsidRPr="00D13284">
              <w:rPr>
                <w:rFonts w:cs="Calibri"/>
              </w:rPr>
              <w:t>Discom</w:t>
            </w:r>
          </w:p>
        </w:tc>
        <w:tc>
          <w:tcPr>
            <w:tcW w:w="1559" w:type="dxa"/>
            <w:shd w:val="clear" w:color="auto" w:fill="FFFF99"/>
            <w:vAlign w:val="center"/>
          </w:tcPr>
          <w:p w:rsidR="003012C6" w:rsidRPr="00D13284" w:rsidRDefault="003012C6" w:rsidP="003012C6">
            <w:pPr>
              <w:pStyle w:val="NoSpacing"/>
              <w:spacing w:line="276" w:lineRule="auto"/>
              <w:jc w:val="center"/>
              <w:rPr>
                <w:rFonts w:cs="Calibri"/>
              </w:rPr>
            </w:pPr>
            <w:r w:rsidRPr="00D13284">
              <w:rPr>
                <w:rFonts w:cs="Calibri"/>
              </w:rPr>
              <w:t>Power Transformer (Nos.)</w:t>
            </w:r>
          </w:p>
        </w:tc>
        <w:tc>
          <w:tcPr>
            <w:tcW w:w="1571" w:type="dxa"/>
            <w:shd w:val="clear" w:color="auto" w:fill="FFFF99"/>
            <w:vAlign w:val="center"/>
          </w:tcPr>
          <w:p w:rsidR="003012C6" w:rsidRPr="00D13284" w:rsidRDefault="003012C6" w:rsidP="003012C6">
            <w:pPr>
              <w:pStyle w:val="NoSpacing"/>
              <w:spacing w:line="276" w:lineRule="auto"/>
              <w:jc w:val="center"/>
              <w:rPr>
                <w:rFonts w:cs="Calibri"/>
              </w:rPr>
            </w:pPr>
            <w:r w:rsidRPr="00D13284">
              <w:rPr>
                <w:rFonts w:cs="Calibri"/>
              </w:rPr>
              <w:t>33 KV Line (Kms)</w:t>
            </w:r>
          </w:p>
        </w:tc>
        <w:tc>
          <w:tcPr>
            <w:tcW w:w="1406" w:type="dxa"/>
            <w:shd w:val="clear" w:color="auto" w:fill="FFFF99"/>
            <w:vAlign w:val="center"/>
          </w:tcPr>
          <w:p w:rsidR="003012C6" w:rsidRPr="00D13284" w:rsidRDefault="003012C6" w:rsidP="003012C6">
            <w:pPr>
              <w:pStyle w:val="NoSpacing"/>
              <w:spacing w:line="276" w:lineRule="auto"/>
              <w:jc w:val="center"/>
              <w:rPr>
                <w:rFonts w:cs="Calibri"/>
              </w:rPr>
            </w:pPr>
            <w:r w:rsidRPr="00D13284">
              <w:rPr>
                <w:rFonts w:cs="Calibri"/>
              </w:rPr>
              <w:t>11 KV Line (Kms)</w:t>
            </w:r>
          </w:p>
        </w:tc>
        <w:tc>
          <w:tcPr>
            <w:tcW w:w="1417" w:type="dxa"/>
            <w:shd w:val="clear" w:color="auto" w:fill="FFFF99"/>
            <w:vAlign w:val="center"/>
          </w:tcPr>
          <w:p w:rsidR="003012C6" w:rsidRPr="00D13284" w:rsidRDefault="003012C6" w:rsidP="003012C6">
            <w:pPr>
              <w:pStyle w:val="NoSpacing"/>
              <w:spacing w:line="276" w:lineRule="auto"/>
              <w:jc w:val="center"/>
              <w:rPr>
                <w:rFonts w:cs="Calibri"/>
              </w:rPr>
            </w:pPr>
            <w:r w:rsidRPr="00D13284">
              <w:rPr>
                <w:rFonts w:cs="Calibri"/>
              </w:rPr>
              <w:t>Distribution Transformer (Nos.)</w:t>
            </w:r>
          </w:p>
        </w:tc>
      </w:tr>
      <w:tr w:rsidR="003012C6" w:rsidRPr="00D13284" w:rsidTr="003012C6">
        <w:tc>
          <w:tcPr>
            <w:tcW w:w="1276" w:type="dxa"/>
            <w:shd w:val="clear" w:color="auto" w:fill="C4BC96"/>
            <w:vAlign w:val="center"/>
          </w:tcPr>
          <w:p w:rsidR="003012C6" w:rsidRPr="00D13284" w:rsidRDefault="003012C6" w:rsidP="003012C6">
            <w:pPr>
              <w:pStyle w:val="NoSpacing"/>
              <w:spacing w:line="276" w:lineRule="auto"/>
              <w:jc w:val="both"/>
              <w:rPr>
                <w:rFonts w:cs="Calibri"/>
              </w:rPr>
            </w:pPr>
            <w:r w:rsidRPr="00D13284">
              <w:rPr>
                <w:rFonts w:cs="Calibri"/>
              </w:rPr>
              <w:t>NESCO</w:t>
            </w:r>
          </w:p>
        </w:tc>
        <w:tc>
          <w:tcPr>
            <w:tcW w:w="1559" w:type="dxa"/>
            <w:shd w:val="clear" w:color="auto" w:fill="C4BC96"/>
            <w:vAlign w:val="center"/>
          </w:tcPr>
          <w:p w:rsidR="003012C6" w:rsidRPr="00D13284" w:rsidRDefault="003012C6" w:rsidP="003012C6">
            <w:pPr>
              <w:pStyle w:val="NoSpacing"/>
              <w:spacing w:line="276" w:lineRule="auto"/>
              <w:jc w:val="center"/>
              <w:rPr>
                <w:rFonts w:cs="Calibri"/>
              </w:rPr>
            </w:pPr>
            <w:r w:rsidRPr="00D13284">
              <w:rPr>
                <w:rFonts w:cs="Calibri"/>
              </w:rPr>
              <w:t>124</w:t>
            </w:r>
          </w:p>
        </w:tc>
        <w:tc>
          <w:tcPr>
            <w:tcW w:w="1571" w:type="dxa"/>
            <w:shd w:val="clear" w:color="auto" w:fill="C4BC96"/>
            <w:vAlign w:val="center"/>
          </w:tcPr>
          <w:p w:rsidR="003012C6" w:rsidRPr="00D13284" w:rsidRDefault="003012C6" w:rsidP="003012C6">
            <w:pPr>
              <w:pStyle w:val="NoSpacing"/>
              <w:spacing w:line="276" w:lineRule="auto"/>
              <w:jc w:val="center"/>
              <w:rPr>
                <w:rFonts w:cs="Calibri"/>
              </w:rPr>
            </w:pPr>
            <w:r w:rsidRPr="00D13284">
              <w:rPr>
                <w:rFonts w:cs="Calibri"/>
              </w:rPr>
              <w:t>769</w:t>
            </w:r>
          </w:p>
        </w:tc>
        <w:tc>
          <w:tcPr>
            <w:tcW w:w="1406" w:type="dxa"/>
            <w:shd w:val="clear" w:color="auto" w:fill="C4BC96"/>
            <w:vAlign w:val="center"/>
          </w:tcPr>
          <w:p w:rsidR="003012C6" w:rsidRPr="00D13284" w:rsidRDefault="003012C6" w:rsidP="003012C6">
            <w:pPr>
              <w:pStyle w:val="NoSpacing"/>
              <w:spacing w:line="276" w:lineRule="auto"/>
              <w:jc w:val="center"/>
              <w:rPr>
                <w:rFonts w:cs="Calibri"/>
              </w:rPr>
            </w:pPr>
            <w:r w:rsidRPr="00D13284">
              <w:rPr>
                <w:rFonts w:cs="Calibri"/>
              </w:rPr>
              <w:t>8094</w:t>
            </w:r>
          </w:p>
        </w:tc>
        <w:tc>
          <w:tcPr>
            <w:tcW w:w="1417" w:type="dxa"/>
            <w:shd w:val="clear" w:color="auto" w:fill="C4BC96"/>
            <w:vAlign w:val="center"/>
          </w:tcPr>
          <w:p w:rsidR="003012C6" w:rsidRPr="00D13284" w:rsidRDefault="003012C6" w:rsidP="003012C6">
            <w:pPr>
              <w:pStyle w:val="NoSpacing"/>
              <w:spacing w:line="276" w:lineRule="auto"/>
              <w:jc w:val="center"/>
              <w:rPr>
                <w:rFonts w:cs="Calibri"/>
              </w:rPr>
            </w:pPr>
            <w:r w:rsidRPr="00D13284">
              <w:rPr>
                <w:rFonts w:cs="Calibri"/>
              </w:rPr>
              <w:t>19305</w:t>
            </w:r>
          </w:p>
        </w:tc>
      </w:tr>
      <w:tr w:rsidR="003012C6" w:rsidRPr="00D13284" w:rsidTr="003012C6">
        <w:tc>
          <w:tcPr>
            <w:tcW w:w="1276" w:type="dxa"/>
            <w:vAlign w:val="center"/>
          </w:tcPr>
          <w:p w:rsidR="003012C6" w:rsidRPr="00D13284" w:rsidRDefault="003012C6" w:rsidP="003012C6">
            <w:pPr>
              <w:pStyle w:val="NoSpacing"/>
              <w:spacing w:line="276" w:lineRule="auto"/>
              <w:jc w:val="both"/>
              <w:rPr>
                <w:rFonts w:cs="Calibri"/>
              </w:rPr>
            </w:pPr>
            <w:r w:rsidRPr="00D13284">
              <w:rPr>
                <w:rFonts w:cs="Calibri"/>
              </w:rPr>
              <w:t>SOUTHCO</w:t>
            </w:r>
          </w:p>
        </w:tc>
        <w:tc>
          <w:tcPr>
            <w:tcW w:w="1559" w:type="dxa"/>
            <w:vAlign w:val="center"/>
          </w:tcPr>
          <w:p w:rsidR="003012C6" w:rsidRPr="00D13284" w:rsidRDefault="003012C6" w:rsidP="003012C6">
            <w:pPr>
              <w:pStyle w:val="NoSpacing"/>
              <w:spacing w:line="276" w:lineRule="auto"/>
              <w:jc w:val="center"/>
              <w:rPr>
                <w:rFonts w:cs="Calibri"/>
              </w:rPr>
            </w:pPr>
            <w:r w:rsidRPr="00D13284">
              <w:rPr>
                <w:rFonts w:cs="Calibri"/>
              </w:rPr>
              <w:t>93</w:t>
            </w:r>
          </w:p>
        </w:tc>
        <w:tc>
          <w:tcPr>
            <w:tcW w:w="1571" w:type="dxa"/>
            <w:vAlign w:val="center"/>
          </w:tcPr>
          <w:p w:rsidR="003012C6" w:rsidRPr="00D13284" w:rsidRDefault="003012C6" w:rsidP="003012C6">
            <w:pPr>
              <w:pStyle w:val="NoSpacing"/>
              <w:spacing w:line="276" w:lineRule="auto"/>
              <w:jc w:val="center"/>
              <w:rPr>
                <w:rFonts w:cs="Calibri"/>
              </w:rPr>
            </w:pPr>
            <w:r w:rsidRPr="00D13284">
              <w:rPr>
                <w:rFonts w:cs="Calibri"/>
              </w:rPr>
              <w:t>452</w:t>
            </w:r>
          </w:p>
        </w:tc>
        <w:tc>
          <w:tcPr>
            <w:tcW w:w="1406" w:type="dxa"/>
            <w:vAlign w:val="center"/>
          </w:tcPr>
          <w:p w:rsidR="003012C6" w:rsidRPr="00D13284" w:rsidRDefault="003012C6" w:rsidP="003012C6">
            <w:pPr>
              <w:pStyle w:val="NoSpacing"/>
              <w:spacing w:line="276" w:lineRule="auto"/>
              <w:jc w:val="center"/>
              <w:rPr>
                <w:rFonts w:cs="Calibri"/>
              </w:rPr>
            </w:pPr>
            <w:r w:rsidRPr="00D13284">
              <w:rPr>
                <w:rFonts w:cs="Calibri"/>
              </w:rPr>
              <w:t>3170</w:t>
            </w:r>
          </w:p>
        </w:tc>
        <w:tc>
          <w:tcPr>
            <w:tcW w:w="1417" w:type="dxa"/>
            <w:vAlign w:val="center"/>
          </w:tcPr>
          <w:p w:rsidR="003012C6" w:rsidRPr="00D13284" w:rsidRDefault="003012C6" w:rsidP="003012C6">
            <w:pPr>
              <w:pStyle w:val="NoSpacing"/>
              <w:spacing w:line="276" w:lineRule="auto"/>
              <w:jc w:val="center"/>
              <w:rPr>
                <w:rFonts w:cs="Calibri"/>
              </w:rPr>
            </w:pPr>
            <w:r w:rsidRPr="00D13284">
              <w:rPr>
                <w:rFonts w:cs="Calibri"/>
              </w:rPr>
              <w:t>6076</w:t>
            </w:r>
          </w:p>
        </w:tc>
      </w:tr>
      <w:tr w:rsidR="003012C6" w:rsidRPr="00D13284" w:rsidTr="003012C6">
        <w:tc>
          <w:tcPr>
            <w:tcW w:w="1276" w:type="dxa"/>
            <w:shd w:val="clear" w:color="auto" w:fill="C4BC96"/>
            <w:vAlign w:val="center"/>
          </w:tcPr>
          <w:p w:rsidR="003012C6" w:rsidRPr="00D13284" w:rsidRDefault="003012C6" w:rsidP="003012C6">
            <w:pPr>
              <w:pStyle w:val="NoSpacing"/>
              <w:spacing w:line="276" w:lineRule="auto"/>
              <w:jc w:val="center"/>
              <w:rPr>
                <w:rFonts w:cs="Calibri"/>
                <w:b/>
              </w:rPr>
            </w:pPr>
            <w:r w:rsidRPr="00D13284">
              <w:rPr>
                <w:rFonts w:cs="Calibri"/>
                <w:b/>
              </w:rPr>
              <w:t>Total</w:t>
            </w:r>
          </w:p>
        </w:tc>
        <w:tc>
          <w:tcPr>
            <w:tcW w:w="1559" w:type="dxa"/>
            <w:shd w:val="clear" w:color="auto" w:fill="C4BC96"/>
            <w:vAlign w:val="center"/>
          </w:tcPr>
          <w:p w:rsidR="003012C6" w:rsidRPr="00D13284" w:rsidRDefault="003012C6" w:rsidP="003012C6">
            <w:pPr>
              <w:pStyle w:val="NoSpacing"/>
              <w:spacing w:line="276" w:lineRule="auto"/>
              <w:jc w:val="center"/>
              <w:rPr>
                <w:rFonts w:cs="Calibri"/>
                <w:b/>
              </w:rPr>
            </w:pPr>
            <w:r w:rsidRPr="00D13284">
              <w:rPr>
                <w:rFonts w:cs="Calibri"/>
                <w:b/>
              </w:rPr>
              <w:t>217</w:t>
            </w:r>
          </w:p>
        </w:tc>
        <w:tc>
          <w:tcPr>
            <w:tcW w:w="1571" w:type="dxa"/>
            <w:shd w:val="clear" w:color="auto" w:fill="C4BC96"/>
            <w:vAlign w:val="center"/>
          </w:tcPr>
          <w:p w:rsidR="003012C6" w:rsidRPr="00D13284" w:rsidRDefault="003012C6" w:rsidP="003012C6">
            <w:pPr>
              <w:pStyle w:val="NoSpacing"/>
              <w:spacing w:line="276" w:lineRule="auto"/>
              <w:jc w:val="center"/>
              <w:rPr>
                <w:rFonts w:cs="Calibri"/>
                <w:b/>
              </w:rPr>
            </w:pPr>
            <w:r w:rsidRPr="00D13284">
              <w:rPr>
                <w:rFonts w:cs="Calibri"/>
                <w:b/>
              </w:rPr>
              <w:t>1221</w:t>
            </w:r>
          </w:p>
        </w:tc>
        <w:tc>
          <w:tcPr>
            <w:tcW w:w="1406" w:type="dxa"/>
            <w:shd w:val="clear" w:color="auto" w:fill="C4BC96"/>
            <w:vAlign w:val="center"/>
          </w:tcPr>
          <w:p w:rsidR="003012C6" w:rsidRPr="00D13284" w:rsidRDefault="003012C6" w:rsidP="003012C6">
            <w:pPr>
              <w:pStyle w:val="NoSpacing"/>
              <w:spacing w:line="276" w:lineRule="auto"/>
              <w:jc w:val="center"/>
              <w:rPr>
                <w:rFonts w:cs="Calibri"/>
                <w:b/>
              </w:rPr>
            </w:pPr>
            <w:r w:rsidRPr="00D13284">
              <w:rPr>
                <w:rFonts w:cs="Calibri"/>
                <w:b/>
              </w:rPr>
              <w:t>11264</w:t>
            </w:r>
          </w:p>
        </w:tc>
        <w:tc>
          <w:tcPr>
            <w:tcW w:w="1417" w:type="dxa"/>
            <w:shd w:val="clear" w:color="auto" w:fill="C4BC96"/>
            <w:vAlign w:val="center"/>
          </w:tcPr>
          <w:p w:rsidR="003012C6" w:rsidRPr="00D13284" w:rsidRDefault="003012C6" w:rsidP="003012C6">
            <w:pPr>
              <w:pStyle w:val="NoSpacing"/>
              <w:spacing w:line="276" w:lineRule="auto"/>
              <w:jc w:val="center"/>
              <w:rPr>
                <w:rFonts w:cs="Calibri"/>
                <w:b/>
              </w:rPr>
            </w:pPr>
            <w:r w:rsidRPr="00D13284">
              <w:rPr>
                <w:rFonts w:cs="Calibri"/>
                <w:b/>
              </w:rPr>
              <w:t>25381</w:t>
            </w:r>
          </w:p>
        </w:tc>
      </w:tr>
    </w:tbl>
    <w:p w:rsidR="003012C6" w:rsidRPr="00D13284" w:rsidRDefault="003012C6" w:rsidP="003012C6">
      <w:pPr>
        <w:pStyle w:val="NoSpacing"/>
        <w:spacing w:line="276" w:lineRule="auto"/>
        <w:jc w:val="both"/>
        <w:rPr>
          <w:rFonts w:cs="Calibri"/>
        </w:rPr>
      </w:pPr>
    </w:p>
    <w:p w:rsidR="003012C6" w:rsidRPr="00BB1D13" w:rsidRDefault="003012C6" w:rsidP="003012C6">
      <w:pPr>
        <w:pStyle w:val="NoSpacing"/>
        <w:spacing w:line="360" w:lineRule="auto"/>
        <w:jc w:val="both"/>
        <w:rPr>
          <w:rFonts w:ascii="Arial" w:hAnsi="Arial" w:cs="Arial"/>
        </w:rPr>
      </w:pPr>
      <w:r w:rsidRPr="00BB1D13">
        <w:rPr>
          <w:rFonts w:ascii="Arial" w:hAnsi="Arial" w:cs="Arial"/>
        </w:rPr>
        <w:t>It is therefore essential to build the Distribution system which is resilient to withstand the disasters to the maximum extent possible as well as take minimum time for restoration. Following approaches are proposed;</w:t>
      </w:r>
    </w:p>
    <w:p w:rsidR="003012C6" w:rsidRPr="00BB1D13" w:rsidRDefault="003012C6" w:rsidP="003012C6">
      <w:pPr>
        <w:pStyle w:val="NoSpacing"/>
        <w:spacing w:line="360" w:lineRule="auto"/>
        <w:jc w:val="both"/>
        <w:rPr>
          <w:rFonts w:ascii="Arial" w:hAnsi="Arial" w:cs="Arial"/>
        </w:rPr>
      </w:pPr>
    </w:p>
    <w:p w:rsidR="003012C6" w:rsidRPr="00BB1D13" w:rsidRDefault="003012C6" w:rsidP="00CF66A5">
      <w:pPr>
        <w:pStyle w:val="NoSpacing"/>
        <w:numPr>
          <w:ilvl w:val="0"/>
          <w:numId w:val="34"/>
        </w:numPr>
        <w:spacing w:line="360" w:lineRule="auto"/>
        <w:jc w:val="both"/>
        <w:rPr>
          <w:rFonts w:ascii="Arial" w:hAnsi="Arial" w:cs="Arial"/>
          <w:b/>
          <w:u w:val="single"/>
        </w:rPr>
      </w:pPr>
      <w:r w:rsidRPr="00BB1D13">
        <w:rPr>
          <w:rFonts w:ascii="Arial" w:hAnsi="Arial" w:cs="Arial"/>
        </w:rPr>
        <w:t>Critical Installations such as Water Supply, Hospitals, Railways, Airports, Bus stands, Telecommunications etc. are to be treated as Vital areas and shall have UG cabling with double circuit supply or NBLS towers</w:t>
      </w:r>
    </w:p>
    <w:p w:rsidR="003012C6" w:rsidRPr="00BB1D13" w:rsidRDefault="003012C6" w:rsidP="00CF66A5">
      <w:pPr>
        <w:pStyle w:val="NoSpacing"/>
        <w:numPr>
          <w:ilvl w:val="0"/>
          <w:numId w:val="34"/>
        </w:numPr>
        <w:spacing w:line="360" w:lineRule="auto"/>
        <w:jc w:val="both"/>
        <w:rPr>
          <w:rFonts w:ascii="Arial" w:hAnsi="Arial" w:cs="Arial"/>
        </w:rPr>
      </w:pPr>
      <w:r w:rsidRPr="00BB1D13">
        <w:rPr>
          <w:rFonts w:ascii="Arial" w:hAnsi="Arial" w:cs="Arial"/>
        </w:rPr>
        <w:t>33/11KV substation shall be kept above the maximum recorded flood level</w:t>
      </w:r>
    </w:p>
    <w:p w:rsidR="003012C6" w:rsidRPr="00BB1D13" w:rsidRDefault="003012C6" w:rsidP="00CF66A5">
      <w:pPr>
        <w:pStyle w:val="NoSpacing"/>
        <w:numPr>
          <w:ilvl w:val="0"/>
          <w:numId w:val="34"/>
        </w:numPr>
        <w:spacing w:line="360" w:lineRule="auto"/>
        <w:jc w:val="both"/>
        <w:rPr>
          <w:rFonts w:ascii="Arial" w:hAnsi="Arial" w:cs="Arial"/>
        </w:rPr>
      </w:pPr>
      <w:r w:rsidRPr="00BB1D13">
        <w:rPr>
          <w:rFonts w:ascii="Arial" w:hAnsi="Arial" w:cs="Arial"/>
        </w:rPr>
        <w:t>Trunk lines (33KV) overhead lines shall be erected with reinforced NBLS tower having capacity to withstand wind pressure of 300kmps. Wherever possible line shall be made double circuit.</w:t>
      </w:r>
    </w:p>
    <w:p w:rsidR="003012C6" w:rsidRPr="00BB1D13" w:rsidRDefault="003012C6" w:rsidP="00CF66A5">
      <w:pPr>
        <w:pStyle w:val="NoSpacing"/>
        <w:numPr>
          <w:ilvl w:val="0"/>
          <w:numId w:val="34"/>
        </w:numPr>
        <w:spacing w:line="360" w:lineRule="auto"/>
        <w:jc w:val="both"/>
        <w:rPr>
          <w:rFonts w:ascii="Arial" w:hAnsi="Arial" w:cs="Arial"/>
        </w:rPr>
      </w:pPr>
      <w:r w:rsidRPr="00BB1D13">
        <w:rPr>
          <w:rFonts w:ascii="Arial" w:hAnsi="Arial" w:cs="Arial"/>
        </w:rPr>
        <w:t>All 33KV line shall be UG cabling and double circuit in a ring/ mess mode having provision of RMU and sectionalizers.</w:t>
      </w:r>
    </w:p>
    <w:p w:rsidR="003012C6" w:rsidRPr="00D13284" w:rsidRDefault="003012C6" w:rsidP="003012C6">
      <w:pPr>
        <w:pStyle w:val="NoSpacing"/>
        <w:spacing w:line="360" w:lineRule="auto"/>
        <w:jc w:val="both"/>
        <w:rPr>
          <w:rFonts w:cs="Calibri"/>
        </w:rPr>
      </w:pPr>
    </w:p>
    <w:p w:rsidR="003012C6" w:rsidRPr="00BB1D13" w:rsidRDefault="003012C6" w:rsidP="003012C6">
      <w:pPr>
        <w:pStyle w:val="NoSpacing"/>
        <w:spacing w:line="360" w:lineRule="auto"/>
        <w:jc w:val="both"/>
        <w:rPr>
          <w:rFonts w:ascii="Arial" w:hAnsi="Arial" w:cs="Arial"/>
        </w:rPr>
      </w:pPr>
      <w:r w:rsidRPr="00BB1D13">
        <w:rPr>
          <w:rFonts w:ascii="Arial" w:hAnsi="Arial" w:cs="Arial"/>
        </w:rPr>
        <w:t xml:space="preserve">Estimated project outlay is of Rs. 820 Crore for the State. A budget provision of Rs. 25 Cr. is kept for FY 2014-15 for detailed study, preparation of DPR, project management consultancy etc before taking up full-fledged implementation of the work. M/s Powertech has been assigned with the activity of DPR preparation for NESCO &amp; SOUTHCO. Presently DPRs are under preparation &amp; initial scrutiny. The scheme is envisaged to be implemented in Phase-II (FY 2019-20 to 2021-22) of the implementation programme of the umbrella scheme Odisha Power System Improvement Programme (OPSIP).  </w:t>
      </w:r>
    </w:p>
    <w:p w:rsidR="003012C6" w:rsidRPr="00D13284" w:rsidRDefault="003012C6" w:rsidP="003012C6">
      <w:pPr>
        <w:pStyle w:val="NoSpacing"/>
        <w:spacing w:line="360" w:lineRule="auto"/>
        <w:jc w:val="both"/>
        <w:rPr>
          <w:rFonts w:cs="Calibri"/>
        </w:rPr>
      </w:pPr>
    </w:p>
    <w:p w:rsidR="003012C6" w:rsidRPr="00BB1D13" w:rsidRDefault="003012C6" w:rsidP="003012C6">
      <w:pPr>
        <w:pStyle w:val="Heading1"/>
        <w:numPr>
          <w:ilvl w:val="1"/>
          <w:numId w:val="1"/>
        </w:numPr>
        <w:spacing w:line="360" w:lineRule="auto"/>
        <w:jc w:val="both"/>
        <w:rPr>
          <w:bCs w:val="0"/>
          <w:sz w:val="22"/>
          <w:szCs w:val="22"/>
        </w:rPr>
      </w:pPr>
      <w:bookmarkStart w:id="49" w:name="_Toc404940173"/>
      <w:r w:rsidRPr="00BB1D13">
        <w:rPr>
          <w:bCs w:val="0"/>
          <w:sz w:val="22"/>
          <w:szCs w:val="22"/>
        </w:rPr>
        <w:lastRenderedPageBreak/>
        <w:t>External Borrowing</w:t>
      </w:r>
      <w:r w:rsidR="00176FAD" w:rsidRPr="00BB1D13">
        <w:rPr>
          <w:bCs w:val="0"/>
          <w:sz w:val="22"/>
          <w:szCs w:val="22"/>
        </w:rPr>
        <w:t>s – ADB Project (</w:t>
      </w:r>
      <w:r w:rsidRPr="00BB1D13">
        <w:rPr>
          <w:bCs w:val="0"/>
          <w:sz w:val="22"/>
          <w:szCs w:val="22"/>
        </w:rPr>
        <w:t>Distribution)</w:t>
      </w:r>
      <w:bookmarkEnd w:id="49"/>
    </w:p>
    <w:p w:rsidR="003012C6" w:rsidRPr="00BB1D13" w:rsidRDefault="003012C6" w:rsidP="003012C6">
      <w:pPr>
        <w:pStyle w:val="Heading1"/>
        <w:numPr>
          <w:ilvl w:val="2"/>
          <w:numId w:val="1"/>
        </w:numPr>
        <w:spacing w:line="360" w:lineRule="auto"/>
        <w:jc w:val="both"/>
        <w:rPr>
          <w:bCs w:val="0"/>
          <w:sz w:val="22"/>
          <w:szCs w:val="22"/>
        </w:rPr>
      </w:pPr>
      <w:bookmarkStart w:id="50" w:name="_Toc404940174"/>
      <w:r w:rsidRPr="00BB1D13">
        <w:rPr>
          <w:bCs w:val="0"/>
          <w:sz w:val="22"/>
          <w:szCs w:val="22"/>
        </w:rPr>
        <w:t>Odisha Power System Emergency Assistance Project (OPSEAP) – Distribution</w:t>
      </w:r>
      <w:bookmarkEnd w:id="50"/>
    </w:p>
    <w:p w:rsidR="003012C6" w:rsidRPr="00BB1D13" w:rsidRDefault="003012C6" w:rsidP="003012C6">
      <w:pPr>
        <w:pStyle w:val="NoSpacing"/>
        <w:spacing w:line="276" w:lineRule="auto"/>
        <w:jc w:val="both"/>
        <w:rPr>
          <w:rFonts w:ascii="Arial" w:hAnsi="Arial" w:cs="Arial"/>
        </w:rPr>
      </w:pPr>
    </w:p>
    <w:p w:rsidR="003012C6" w:rsidRPr="00BB1D13" w:rsidRDefault="003012C6" w:rsidP="003012C6">
      <w:pPr>
        <w:pStyle w:val="NoSpacing"/>
        <w:spacing w:line="360" w:lineRule="auto"/>
        <w:jc w:val="both"/>
        <w:rPr>
          <w:rFonts w:ascii="Arial" w:hAnsi="Arial" w:cs="Arial"/>
        </w:rPr>
      </w:pPr>
      <w:r w:rsidRPr="00BB1D13">
        <w:rPr>
          <w:rFonts w:ascii="Arial" w:hAnsi="Arial" w:cs="Arial"/>
        </w:rPr>
        <w:t xml:space="preserve">The learning left behind by Cyclone Phailin is a requirement of an upgraded robust T&amp;D network which can withstand the Cyclone and flood to a reasonable extent as well as take minimum time for restoration. </w:t>
      </w:r>
    </w:p>
    <w:p w:rsidR="003012C6" w:rsidRPr="00BB1D13" w:rsidRDefault="003012C6" w:rsidP="003012C6">
      <w:pPr>
        <w:pStyle w:val="NoSpacing"/>
        <w:spacing w:line="360" w:lineRule="auto"/>
        <w:jc w:val="both"/>
        <w:rPr>
          <w:rFonts w:ascii="Arial" w:hAnsi="Arial" w:cs="Arial"/>
        </w:rPr>
      </w:pPr>
    </w:p>
    <w:p w:rsidR="003012C6" w:rsidRPr="00BB1D13" w:rsidRDefault="003012C6" w:rsidP="003012C6">
      <w:pPr>
        <w:pStyle w:val="NoSpacing"/>
        <w:spacing w:line="360" w:lineRule="auto"/>
        <w:jc w:val="both"/>
        <w:rPr>
          <w:rFonts w:ascii="Arial" w:hAnsi="Arial" w:cs="Arial"/>
        </w:rPr>
      </w:pPr>
      <w:r w:rsidRPr="00BB1D13">
        <w:rPr>
          <w:rFonts w:ascii="Arial" w:hAnsi="Arial" w:cs="Arial"/>
        </w:rPr>
        <w:t>To start with and in optimization of resources, the key towns of most vulnerable and affected Ganjam District namely Berhampur, Chatrapur &amp; Gopalpur are planned in the 1</w:t>
      </w:r>
      <w:r w:rsidRPr="00BB1D13">
        <w:rPr>
          <w:rFonts w:ascii="Arial" w:hAnsi="Arial" w:cs="Arial"/>
          <w:vertAlign w:val="superscript"/>
        </w:rPr>
        <w:t>st</w:t>
      </w:r>
      <w:r w:rsidRPr="00BB1D13">
        <w:rPr>
          <w:rFonts w:ascii="Arial" w:hAnsi="Arial" w:cs="Arial"/>
        </w:rPr>
        <w:t xml:space="preserve"> phase for building cyclone resilient T&amp;D system, U/G cabling, SCADA/DMS at Berhampur town and Smart Grid &amp; 1 MW Solar at Chhatrapur under the external funding from Asean Development Bank (ADB). The objective is that with immediate restoration of the power supply to these Towns after any disaster.</w:t>
      </w:r>
    </w:p>
    <w:p w:rsidR="003012C6" w:rsidRPr="00BB1D13" w:rsidRDefault="003012C6" w:rsidP="003012C6">
      <w:pPr>
        <w:pStyle w:val="NoSpacing"/>
        <w:spacing w:line="360" w:lineRule="auto"/>
        <w:jc w:val="both"/>
        <w:rPr>
          <w:rFonts w:ascii="Arial" w:hAnsi="Arial" w:cs="Arial"/>
        </w:rPr>
      </w:pPr>
    </w:p>
    <w:p w:rsidR="003012C6" w:rsidRPr="00BB1D13" w:rsidRDefault="003012C6" w:rsidP="003012C6">
      <w:pPr>
        <w:pStyle w:val="NoSpacing"/>
        <w:spacing w:line="360" w:lineRule="auto"/>
        <w:jc w:val="both"/>
        <w:rPr>
          <w:rFonts w:ascii="Arial" w:hAnsi="Arial" w:cs="Arial"/>
        </w:rPr>
      </w:pPr>
      <w:r w:rsidRPr="00BB1D13">
        <w:rPr>
          <w:rFonts w:ascii="Arial" w:hAnsi="Arial" w:cs="Arial"/>
        </w:rPr>
        <w:t>The main objectives of the project are as follows;</w:t>
      </w:r>
    </w:p>
    <w:p w:rsidR="003012C6" w:rsidRPr="00BB1D13" w:rsidRDefault="003012C6" w:rsidP="003012C6">
      <w:pPr>
        <w:pStyle w:val="NoSpacing"/>
        <w:spacing w:line="360" w:lineRule="auto"/>
        <w:jc w:val="both"/>
        <w:rPr>
          <w:rFonts w:ascii="Arial" w:hAnsi="Arial" w:cs="Arial"/>
        </w:rPr>
      </w:pPr>
    </w:p>
    <w:p w:rsidR="003012C6" w:rsidRPr="00BB1D13" w:rsidRDefault="003012C6" w:rsidP="00CF66A5">
      <w:pPr>
        <w:pStyle w:val="NoSpacing"/>
        <w:numPr>
          <w:ilvl w:val="0"/>
          <w:numId w:val="35"/>
        </w:numPr>
        <w:spacing w:line="360" w:lineRule="auto"/>
        <w:jc w:val="both"/>
        <w:rPr>
          <w:rFonts w:ascii="Arial" w:hAnsi="Arial" w:cs="Arial"/>
        </w:rPr>
      </w:pPr>
      <w:r w:rsidRPr="00BB1D13">
        <w:rPr>
          <w:rFonts w:ascii="Arial" w:hAnsi="Arial" w:cs="Arial"/>
        </w:rPr>
        <w:t>To build a power supply Distribution network resilient to the Super cyclone of the wind speed of 350 kmph.</w:t>
      </w:r>
    </w:p>
    <w:p w:rsidR="003012C6" w:rsidRPr="00BB1D13" w:rsidRDefault="003012C6" w:rsidP="00CF66A5">
      <w:pPr>
        <w:pStyle w:val="NoSpacing"/>
        <w:numPr>
          <w:ilvl w:val="0"/>
          <w:numId w:val="35"/>
        </w:numPr>
        <w:spacing w:line="360" w:lineRule="auto"/>
        <w:jc w:val="both"/>
        <w:rPr>
          <w:rFonts w:ascii="Arial" w:hAnsi="Arial" w:cs="Arial"/>
        </w:rPr>
      </w:pPr>
      <w:r w:rsidRPr="00BB1D13">
        <w:rPr>
          <w:rFonts w:ascii="Arial" w:hAnsi="Arial" w:cs="Arial"/>
        </w:rPr>
        <w:t>To design distribution network infrastructure adequate to take care of load growth of next 10 years and create the same for catering load growth of 5 years.</w:t>
      </w:r>
    </w:p>
    <w:p w:rsidR="003012C6" w:rsidRPr="00BB1D13" w:rsidRDefault="003012C6" w:rsidP="00CF66A5">
      <w:pPr>
        <w:pStyle w:val="NoSpacing"/>
        <w:numPr>
          <w:ilvl w:val="0"/>
          <w:numId w:val="35"/>
        </w:numPr>
        <w:spacing w:line="360" w:lineRule="auto"/>
        <w:jc w:val="both"/>
        <w:rPr>
          <w:rFonts w:ascii="Arial" w:hAnsi="Arial" w:cs="Arial"/>
        </w:rPr>
      </w:pPr>
      <w:r w:rsidRPr="00BB1D13">
        <w:rPr>
          <w:rFonts w:ascii="Arial" w:hAnsi="Arial" w:cs="Arial"/>
        </w:rPr>
        <w:t>To elevate the outdoor infrastructure above the defined flood levels</w:t>
      </w:r>
    </w:p>
    <w:p w:rsidR="003012C6" w:rsidRPr="00BB1D13" w:rsidRDefault="003012C6" w:rsidP="00CF66A5">
      <w:pPr>
        <w:pStyle w:val="NoSpacing"/>
        <w:numPr>
          <w:ilvl w:val="0"/>
          <w:numId w:val="35"/>
        </w:numPr>
        <w:spacing w:line="360" w:lineRule="auto"/>
        <w:jc w:val="both"/>
        <w:rPr>
          <w:rFonts w:ascii="Arial" w:hAnsi="Arial" w:cs="Arial"/>
        </w:rPr>
      </w:pPr>
      <w:r w:rsidRPr="00BB1D13">
        <w:rPr>
          <w:rFonts w:ascii="Arial" w:hAnsi="Arial" w:cs="Arial"/>
        </w:rPr>
        <w:t>To build up 33 KV ring main system in Berhampur Town and special measures to improve supply reliability through dedicated links to important installations like Hospitals, Water Supply, Railways etc.</w:t>
      </w:r>
    </w:p>
    <w:p w:rsidR="003012C6" w:rsidRPr="00BB1D13" w:rsidRDefault="003012C6" w:rsidP="00CF66A5">
      <w:pPr>
        <w:pStyle w:val="NoSpacing"/>
        <w:numPr>
          <w:ilvl w:val="0"/>
          <w:numId w:val="35"/>
        </w:numPr>
        <w:spacing w:line="360" w:lineRule="auto"/>
        <w:jc w:val="both"/>
        <w:rPr>
          <w:rFonts w:ascii="Arial" w:hAnsi="Arial" w:cs="Arial"/>
        </w:rPr>
      </w:pPr>
      <w:r w:rsidRPr="00BB1D13">
        <w:rPr>
          <w:rFonts w:ascii="Arial" w:hAnsi="Arial" w:cs="Arial"/>
        </w:rPr>
        <w:t>Deployment of modern techniques in Power distribution such as GIS, Compact Sub-stations, RMUs etc and implementation of SCADA.</w:t>
      </w:r>
    </w:p>
    <w:p w:rsidR="003012C6" w:rsidRPr="00BB1D13" w:rsidRDefault="003012C6" w:rsidP="00CF66A5">
      <w:pPr>
        <w:pStyle w:val="NoSpacing"/>
        <w:numPr>
          <w:ilvl w:val="0"/>
          <w:numId w:val="35"/>
        </w:numPr>
        <w:spacing w:line="360" w:lineRule="auto"/>
        <w:jc w:val="both"/>
        <w:rPr>
          <w:rFonts w:ascii="Arial" w:hAnsi="Arial" w:cs="Arial"/>
        </w:rPr>
      </w:pPr>
      <w:r w:rsidRPr="00BB1D13">
        <w:rPr>
          <w:rFonts w:ascii="Arial" w:hAnsi="Arial" w:cs="Arial"/>
        </w:rPr>
        <w:t>Implementation of Smart Grid concept in Chatrapur Town.</w:t>
      </w:r>
    </w:p>
    <w:p w:rsidR="003012C6" w:rsidRPr="00BB1D13" w:rsidRDefault="003012C6" w:rsidP="00CF66A5">
      <w:pPr>
        <w:pStyle w:val="NoSpacing"/>
        <w:numPr>
          <w:ilvl w:val="0"/>
          <w:numId w:val="35"/>
        </w:numPr>
        <w:spacing w:line="360" w:lineRule="auto"/>
        <w:jc w:val="both"/>
        <w:rPr>
          <w:rFonts w:ascii="Arial" w:hAnsi="Arial" w:cs="Arial"/>
        </w:rPr>
      </w:pPr>
      <w:r w:rsidRPr="00BB1D13">
        <w:rPr>
          <w:rFonts w:ascii="Arial" w:hAnsi="Arial" w:cs="Arial"/>
        </w:rPr>
        <w:t>Supplement the power source through renewable energy generation through installation of 1 MW Solar PV Project in Chatrapur Town.</w:t>
      </w:r>
    </w:p>
    <w:p w:rsidR="003012C6" w:rsidRPr="00BB1D13" w:rsidRDefault="003012C6" w:rsidP="00CF66A5">
      <w:pPr>
        <w:pStyle w:val="NoSpacing"/>
        <w:numPr>
          <w:ilvl w:val="0"/>
          <w:numId w:val="35"/>
        </w:numPr>
        <w:spacing w:line="360" w:lineRule="auto"/>
        <w:jc w:val="both"/>
        <w:rPr>
          <w:rFonts w:ascii="Arial" w:hAnsi="Arial" w:cs="Arial"/>
        </w:rPr>
      </w:pPr>
      <w:r w:rsidRPr="00BB1D13">
        <w:rPr>
          <w:rFonts w:ascii="Arial" w:hAnsi="Arial" w:cs="Arial"/>
        </w:rPr>
        <w:t>Creation of emergency restoration cell.</w:t>
      </w:r>
    </w:p>
    <w:p w:rsidR="003012C6" w:rsidRPr="00BB1D13" w:rsidRDefault="003012C6" w:rsidP="003012C6">
      <w:pPr>
        <w:pStyle w:val="NoSpacing"/>
        <w:spacing w:line="360" w:lineRule="auto"/>
        <w:jc w:val="both"/>
        <w:rPr>
          <w:rFonts w:ascii="Arial" w:hAnsi="Arial" w:cs="Arial"/>
        </w:rPr>
      </w:pPr>
    </w:p>
    <w:p w:rsidR="003012C6" w:rsidRPr="00BB1D13" w:rsidRDefault="003012C6" w:rsidP="003012C6">
      <w:pPr>
        <w:pStyle w:val="NoSpacing"/>
        <w:spacing w:line="360" w:lineRule="auto"/>
        <w:jc w:val="both"/>
        <w:rPr>
          <w:rFonts w:ascii="Arial" w:hAnsi="Arial" w:cs="Arial"/>
        </w:rPr>
      </w:pPr>
      <w:r w:rsidRPr="00BB1D13">
        <w:rPr>
          <w:rFonts w:ascii="Arial" w:hAnsi="Arial" w:cs="Arial"/>
        </w:rPr>
        <w:t xml:space="preserve">As per the Govt. of Odisha decision, the project along with transmission system up-gradation would primarily be funded by Asian Development Bank (ADB) through “Odisha Power Sector Emergency Assistance Project (OPSEAP)” and rest by the State Government. The loan assistance from ADB would be limiting to $100 Million i.e. Rs.615.00 Cr (@ of Rs.61.50 per </w:t>
      </w:r>
      <w:r w:rsidRPr="00BB1D13">
        <w:rPr>
          <w:rFonts w:ascii="Arial" w:hAnsi="Arial" w:cs="Arial"/>
        </w:rPr>
        <w:lastRenderedPageBreak/>
        <w:t>dollar) inclusive of Transmission up-gradation cost and the balance amount of Rs. 384 Cr. would be funded by the State Government. However, the ADB loan would not be available for Smart Grid and Solar PV Project and the same would be funded by the State Government. The Distribution project cost is Rs. 584.45 Cr. and Rs. 235 Cr has been earmarked for Transmission system up-gradation. The Project is presently under the process of approval in Ministry of External Affairs and Ministry of Finance, Govt. of India.</w:t>
      </w:r>
    </w:p>
    <w:p w:rsidR="004276A0" w:rsidRPr="00E2353F" w:rsidRDefault="004276A0" w:rsidP="008737FF">
      <w:pPr>
        <w:pStyle w:val="Heading1"/>
        <w:numPr>
          <w:ilvl w:val="0"/>
          <w:numId w:val="1"/>
        </w:numPr>
        <w:spacing w:line="360" w:lineRule="auto"/>
        <w:jc w:val="both"/>
        <w:rPr>
          <w:sz w:val="22"/>
          <w:szCs w:val="22"/>
        </w:rPr>
      </w:pPr>
      <w:bookmarkStart w:id="51" w:name="_Toc404940175"/>
      <w:r w:rsidRPr="00E2353F">
        <w:rPr>
          <w:sz w:val="22"/>
          <w:szCs w:val="22"/>
        </w:rPr>
        <w:t xml:space="preserve">Truing up of ARR </w:t>
      </w:r>
      <w:bookmarkEnd w:id="30"/>
      <w:r w:rsidRPr="00E2353F">
        <w:rPr>
          <w:sz w:val="22"/>
          <w:szCs w:val="22"/>
        </w:rPr>
        <w:t>and creation of Regulatory Assets</w:t>
      </w:r>
      <w:bookmarkEnd w:id="51"/>
    </w:p>
    <w:p w:rsidR="004E4DF1" w:rsidRPr="00E2353F" w:rsidRDefault="004E4DF1" w:rsidP="004E4DF1">
      <w:pPr>
        <w:pStyle w:val="Heading1"/>
        <w:numPr>
          <w:ilvl w:val="1"/>
          <w:numId w:val="1"/>
        </w:numPr>
        <w:spacing w:line="360" w:lineRule="auto"/>
        <w:jc w:val="both"/>
        <w:rPr>
          <w:sz w:val="22"/>
          <w:szCs w:val="22"/>
        </w:rPr>
      </w:pPr>
      <w:bookmarkStart w:id="52" w:name="_Toc404940176"/>
      <w:r w:rsidRPr="00E2353F">
        <w:rPr>
          <w:sz w:val="22"/>
          <w:szCs w:val="22"/>
        </w:rPr>
        <w:t>Non Tariff Income</w:t>
      </w:r>
      <w:bookmarkEnd w:id="52"/>
    </w:p>
    <w:p w:rsidR="004E4DF1" w:rsidRPr="00E2353F" w:rsidRDefault="004E4DF1" w:rsidP="004E4DF1">
      <w:pPr>
        <w:spacing w:line="360" w:lineRule="auto"/>
        <w:jc w:val="both"/>
        <w:rPr>
          <w:rFonts w:ascii="Arial" w:hAnsi="Arial" w:cs="Arial"/>
          <w:sz w:val="22"/>
          <w:szCs w:val="22"/>
        </w:rPr>
      </w:pPr>
      <w:r w:rsidRPr="00E2353F">
        <w:rPr>
          <w:rFonts w:ascii="Arial" w:hAnsi="Arial" w:cs="Arial"/>
          <w:sz w:val="22"/>
          <w:szCs w:val="22"/>
        </w:rPr>
        <w:t>The Licensee has proposed Rs. 50.41 Crore as Non Tariff Income for the ensuing year FY 2015-16. The Licensee submits the Hon’ble Commission to exclude the income from meter rent as per the ATE Order</w:t>
      </w:r>
    </w:p>
    <w:p w:rsidR="004E4DF1" w:rsidRPr="00E2353F" w:rsidRDefault="004E4DF1" w:rsidP="004E4DF1">
      <w:pPr>
        <w:pStyle w:val="Heading1"/>
        <w:numPr>
          <w:ilvl w:val="1"/>
          <w:numId w:val="1"/>
        </w:numPr>
        <w:spacing w:line="360" w:lineRule="auto"/>
        <w:jc w:val="both"/>
        <w:rPr>
          <w:sz w:val="22"/>
          <w:szCs w:val="22"/>
        </w:rPr>
      </w:pPr>
      <w:bookmarkStart w:id="53" w:name="_Toc404940177"/>
      <w:r w:rsidRPr="00E2353F">
        <w:rPr>
          <w:sz w:val="22"/>
          <w:szCs w:val="22"/>
        </w:rPr>
        <w:t>Provision for Contingency Reserve</w:t>
      </w:r>
      <w:bookmarkEnd w:id="53"/>
    </w:p>
    <w:p w:rsidR="004E4DF1" w:rsidRPr="00E2353F" w:rsidRDefault="004E4DF1" w:rsidP="004E4DF1">
      <w:pPr>
        <w:spacing w:line="360" w:lineRule="auto"/>
        <w:jc w:val="both"/>
        <w:rPr>
          <w:rFonts w:ascii="Arial" w:hAnsi="Arial" w:cs="Arial"/>
          <w:sz w:val="22"/>
          <w:szCs w:val="22"/>
        </w:rPr>
      </w:pPr>
      <w:r w:rsidRPr="00E2353F">
        <w:rPr>
          <w:rFonts w:ascii="Arial" w:hAnsi="Arial" w:cs="Arial"/>
          <w:sz w:val="22"/>
          <w:szCs w:val="22"/>
        </w:rPr>
        <w:t xml:space="preserve">The Licensee submits that the Distribution system is more prone to natural calamities like cyclone, flood etc, which have become an annual feature given the Phailin and Hud Hud in quick succession,  for which contingency provisions should be made. The same  has also been recognized by the Hon’ble Tribunal in their Judgment dated 13th December 2006 vide Appeal no. 71, 72 and 73 of 2006. </w:t>
      </w:r>
    </w:p>
    <w:p w:rsidR="004E4DF1" w:rsidRPr="00E2353F" w:rsidRDefault="004E4DF1" w:rsidP="004E4DF1">
      <w:pPr>
        <w:spacing w:line="360" w:lineRule="auto"/>
        <w:jc w:val="both"/>
        <w:rPr>
          <w:rFonts w:ascii="Arial" w:hAnsi="Arial" w:cs="Arial"/>
          <w:sz w:val="22"/>
          <w:szCs w:val="22"/>
        </w:rPr>
      </w:pPr>
    </w:p>
    <w:p w:rsidR="004E4DF1" w:rsidRPr="00E2353F" w:rsidRDefault="004E4DF1" w:rsidP="004E4DF1">
      <w:pPr>
        <w:spacing w:line="360" w:lineRule="auto"/>
        <w:jc w:val="both"/>
        <w:rPr>
          <w:rFonts w:ascii="Arial" w:hAnsi="Arial" w:cs="Arial"/>
          <w:sz w:val="22"/>
          <w:szCs w:val="22"/>
        </w:rPr>
      </w:pPr>
      <w:r w:rsidRPr="00E2353F">
        <w:rPr>
          <w:rFonts w:ascii="Arial" w:hAnsi="Arial" w:cs="Arial"/>
          <w:sz w:val="22"/>
          <w:szCs w:val="22"/>
        </w:rPr>
        <w:t xml:space="preserve">The Hon’ble Commission in its Order on ARR and Tariff Petition of Odisha Power Transmission Corporation Limited (OPTCL) for FY 2006-07, FY 2007-08, FY 2008-09 and FY 2009-10  has also approved the contingency amount of Rs 12.59 Crore, Rs.10.49 crores, Rs 13.10 Cr and Rs. 9.08Crore respectively.  </w:t>
      </w:r>
    </w:p>
    <w:p w:rsidR="004E4DF1" w:rsidRPr="00E2353F" w:rsidRDefault="004E4DF1" w:rsidP="004E4DF1">
      <w:pPr>
        <w:spacing w:line="360" w:lineRule="auto"/>
        <w:jc w:val="both"/>
        <w:rPr>
          <w:rFonts w:ascii="Arial" w:hAnsi="Arial" w:cs="Arial"/>
          <w:sz w:val="22"/>
          <w:szCs w:val="22"/>
        </w:rPr>
      </w:pPr>
    </w:p>
    <w:p w:rsidR="004E4DF1" w:rsidRPr="00E2353F" w:rsidRDefault="004E4DF1" w:rsidP="004E4DF1">
      <w:pPr>
        <w:spacing w:line="360" w:lineRule="auto"/>
        <w:jc w:val="both"/>
        <w:rPr>
          <w:rFonts w:ascii="Arial" w:hAnsi="Arial" w:cs="Arial"/>
          <w:sz w:val="22"/>
          <w:szCs w:val="22"/>
        </w:rPr>
      </w:pPr>
      <w:r w:rsidRPr="00E2353F">
        <w:rPr>
          <w:rFonts w:ascii="Arial" w:hAnsi="Arial" w:cs="Arial"/>
          <w:sz w:val="22"/>
          <w:szCs w:val="22"/>
        </w:rPr>
        <w:t>Further n in the ATE Order dated 3</w:t>
      </w:r>
      <w:r w:rsidRPr="00E2353F">
        <w:rPr>
          <w:rFonts w:ascii="Arial" w:hAnsi="Arial" w:cs="Arial"/>
          <w:sz w:val="22"/>
          <w:szCs w:val="22"/>
          <w:vertAlign w:val="superscript"/>
        </w:rPr>
        <w:t>rd</w:t>
      </w:r>
      <w:r w:rsidRPr="00E2353F">
        <w:rPr>
          <w:rFonts w:ascii="Arial" w:hAnsi="Arial" w:cs="Arial"/>
          <w:sz w:val="22"/>
          <w:szCs w:val="22"/>
        </w:rPr>
        <w:t xml:space="preserve"> July 2013 passed in Appeal nos. 26, 27 &amp; 28 of 2009, Appeal nos.160, 161 &amp; 162 of 2010, Appeal nos.147, 148 &amp; 149 of 2011 and Appeal nos.193, 194, 195 &amp; 196 of 2012, the Hon’ble ATE has observed vide Para ‘V’ of Clause 31 stating herein that, the claimed for Contingency Reserve cannot be raised in the appeal stage unless the same claim has been filed as the part of the ARR petition before the State Commission.Accordingly, the licensee has sought for a provision for contingency reserve.</w:t>
      </w:r>
    </w:p>
    <w:p w:rsidR="004E4DF1" w:rsidRPr="00E2353F" w:rsidRDefault="004E4DF1" w:rsidP="004E4DF1">
      <w:pPr>
        <w:spacing w:line="360" w:lineRule="auto"/>
        <w:jc w:val="both"/>
        <w:rPr>
          <w:rFonts w:ascii="Arial" w:hAnsi="Arial" w:cs="Arial"/>
          <w:sz w:val="22"/>
          <w:szCs w:val="22"/>
        </w:rPr>
      </w:pPr>
    </w:p>
    <w:p w:rsidR="004E4DF1" w:rsidRPr="00E2353F" w:rsidRDefault="004E4DF1" w:rsidP="004E4DF1">
      <w:pPr>
        <w:spacing w:line="360" w:lineRule="auto"/>
        <w:jc w:val="both"/>
        <w:rPr>
          <w:rFonts w:ascii="Arial" w:hAnsi="Arial" w:cs="Arial"/>
          <w:sz w:val="22"/>
          <w:szCs w:val="22"/>
        </w:rPr>
      </w:pPr>
      <w:r w:rsidRPr="00E2353F">
        <w:rPr>
          <w:rFonts w:ascii="Arial" w:hAnsi="Arial" w:cs="Arial"/>
          <w:sz w:val="22"/>
          <w:szCs w:val="22"/>
        </w:rPr>
        <w:t xml:space="preserve">The licensee seeks reference to , the National Tariff Policy, vide Clause 8.2.1 Para ‘6’ which states ed that, the contingency reserve should be drawn upon the prior approval of the State Commission only in the event of contingency conditions specified through the Regulations by the State Commission. Accordingly, taking into consideration that, the State of Odisha is prone </w:t>
      </w:r>
      <w:r w:rsidRPr="00E2353F">
        <w:rPr>
          <w:rFonts w:ascii="Arial" w:hAnsi="Arial" w:cs="Arial"/>
          <w:sz w:val="22"/>
          <w:szCs w:val="22"/>
        </w:rPr>
        <w:lastRenderedPageBreak/>
        <w:t xml:space="preserve">to natural calamities at regular intervals having witnessed in the last 100 years, 49 floods, 39 droughts and 11 cyclones, and taking into consideration the massive damage to the electrical infrastructure, it is prayed that Contingency Reserve be allowed for the licensee along with the guidelines/practice directions for use of such Contingency Reserve Fund.       </w:t>
      </w:r>
    </w:p>
    <w:p w:rsidR="004E4DF1" w:rsidRPr="00E2353F" w:rsidRDefault="004E4DF1" w:rsidP="004E4DF1">
      <w:pPr>
        <w:spacing w:line="360" w:lineRule="auto"/>
        <w:jc w:val="both"/>
        <w:rPr>
          <w:rFonts w:ascii="Arial" w:hAnsi="Arial" w:cs="Arial"/>
          <w:sz w:val="22"/>
          <w:szCs w:val="22"/>
        </w:rPr>
      </w:pPr>
      <w:r w:rsidRPr="00E2353F">
        <w:rPr>
          <w:rFonts w:ascii="Arial" w:hAnsi="Arial" w:cs="Arial"/>
          <w:sz w:val="22"/>
          <w:szCs w:val="22"/>
        </w:rPr>
        <w:t xml:space="preserve">The Power Distribution network has suffered the most damage in the recent cyclone Phailin, Hud Hud and subsequent flood further justifies the requirement of contingency reserve for the Distribution Licensees. </w:t>
      </w:r>
    </w:p>
    <w:p w:rsidR="004E4DF1" w:rsidRPr="00E2353F" w:rsidRDefault="004E4DF1" w:rsidP="004E4DF1">
      <w:pPr>
        <w:spacing w:line="360" w:lineRule="auto"/>
        <w:jc w:val="both"/>
        <w:rPr>
          <w:rFonts w:ascii="Arial" w:hAnsi="Arial" w:cs="Arial"/>
          <w:b/>
          <w:sz w:val="22"/>
          <w:szCs w:val="22"/>
        </w:rPr>
      </w:pPr>
    </w:p>
    <w:p w:rsidR="004E4DF1" w:rsidRPr="00E2353F" w:rsidRDefault="004E4DF1" w:rsidP="004E4DF1">
      <w:pPr>
        <w:spacing w:line="360" w:lineRule="auto"/>
        <w:jc w:val="both"/>
        <w:rPr>
          <w:rFonts w:ascii="Arial" w:hAnsi="Arial" w:cs="Arial"/>
          <w:sz w:val="22"/>
          <w:szCs w:val="22"/>
        </w:rPr>
      </w:pPr>
      <w:r w:rsidRPr="00E2353F">
        <w:rPr>
          <w:rFonts w:ascii="Arial" w:hAnsi="Arial" w:cs="Arial"/>
          <w:b/>
          <w:sz w:val="22"/>
          <w:szCs w:val="22"/>
        </w:rPr>
        <w:t>The Licensee has considered the Contingency @ 0.375% of Gross Fixed Assets at beginning of the year while estimating the ARR for the ensuing year FY 2015-16. The Licensee respectfully submits to allow Rs.4.57 Crore towards provision for contingency for FY 2015-16.</w:t>
      </w:r>
    </w:p>
    <w:p w:rsidR="004E4DF1" w:rsidRPr="00E2353F" w:rsidRDefault="004E4DF1" w:rsidP="00CF66A5">
      <w:pPr>
        <w:pStyle w:val="Heading1"/>
        <w:numPr>
          <w:ilvl w:val="1"/>
          <w:numId w:val="48"/>
        </w:numPr>
        <w:spacing w:line="360" w:lineRule="auto"/>
        <w:ind w:left="1440"/>
        <w:jc w:val="both"/>
        <w:rPr>
          <w:sz w:val="22"/>
          <w:szCs w:val="22"/>
        </w:rPr>
      </w:pPr>
      <w:bookmarkStart w:id="54" w:name="_Toc404940178"/>
      <w:r w:rsidRPr="00E2353F">
        <w:rPr>
          <w:sz w:val="22"/>
          <w:szCs w:val="22"/>
        </w:rPr>
        <w:t>Reasonable Return</w:t>
      </w:r>
      <w:bookmarkEnd w:id="54"/>
    </w:p>
    <w:p w:rsidR="004E4DF1" w:rsidRPr="00E2353F" w:rsidRDefault="004E4DF1" w:rsidP="00E2353F">
      <w:pPr>
        <w:spacing w:line="360" w:lineRule="auto"/>
        <w:jc w:val="both"/>
        <w:rPr>
          <w:rFonts w:ascii="Arial" w:hAnsi="Arial" w:cs="Arial"/>
          <w:sz w:val="22"/>
          <w:szCs w:val="22"/>
        </w:rPr>
      </w:pPr>
      <w:r w:rsidRPr="00E2353F">
        <w:rPr>
          <w:rFonts w:ascii="Arial" w:hAnsi="Arial" w:cs="Arial"/>
          <w:sz w:val="22"/>
          <w:szCs w:val="22"/>
        </w:rPr>
        <w:t>The Licensee submits that due to the negative returns (Gaps) in the ARR and carry forward of huge Regulatory Assets in previous years, the licensee could not avail the ROE over the years, which otherwise would have been invested in the Company for improvement of the infrastructure. As it is followed by various Commissions, the Licensees submits that the ROE to be allowed on the amount of the equity and the accrued ROE for the previous year. This would increase the availability of more funds for the consumer services.</w:t>
      </w:r>
    </w:p>
    <w:p w:rsidR="00E2353F" w:rsidRDefault="00E2353F" w:rsidP="00E2353F">
      <w:pPr>
        <w:spacing w:line="360" w:lineRule="auto"/>
        <w:jc w:val="both"/>
        <w:rPr>
          <w:rFonts w:ascii="Arial" w:hAnsi="Arial" w:cs="Arial"/>
          <w:sz w:val="22"/>
          <w:szCs w:val="22"/>
        </w:rPr>
      </w:pPr>
    </w:p>
    <w:p w:rsidR="004E4DF1" w:rsidRPr="00E2353F" w:rsidRDefault="004E4DF1" w:rsidP="00E2353F">
      <w:pPr>
        <w:spacing w:line="360" w:lineRule="auto"/>
        <w:jc w:val="both"/>
        <w:rPr>
          <w:rFonts w:ascii="Arial" w:hAnsi="Arial" w:cs="Arial"/>
          <w:sz w:val="22"/>
          <w:szCs w:val="22"/>
        </w:rPr>
      </w:pPr>
      <w:r w:rsidRPr="00E2353F">
        <w:rPr>
          <w:rFonts w:ascii="Arial" w:hAnsi="Arial" w:cs="Arial"/>
          <w:sz w:val="22"/>
          <w:szCs w:val="22"/>
        </w:rPr>
        <w:t>Therefore, the Licensee has assumed re</w:t>
      </w:r>
      <w:r w:rsidR="003D3005">
        <w:rPr>
          <w:rFonts w:ascii="Arial" w:hAnsi="Arial" w:cs="Arial"/>
          <w:sz w:val="22"/>
          <w:szCs w:val="22"/>
        </w:rPr>
        <w:t>asonable return amounting to Rs.</w:t>
      </w:r>
      <w:r w:rsidR="00E2353F">
        <w:rPr>
          <w:rFonts w:ascii="Arial" w:hAnsi="Arial" w:cs="Arial"/>
          <w:sz w:val="22"/>
          <w:szCs w:val="22"/>
        </w:rPr>
        <w:t>10.55</w:t>
      </w:r>
      <w:r w:rsidRPr="00E2353F">
        <w:rPr>
          <w:rFonts w:ascii="Arial" w:hAnsi="Arial" w:cs="Arial"/>
          <w:sz w:val="22"/>
          <w:szCs w:val="22"/>
        </w:rPr>
        <w:t xml:space="preserve"> Crore as calculated @ 16% on equity capital including the accrued ROE as per the earlier Orders of the Hon’ble Commission. </w:t>
      </w:r>
    </w:p>
    <w:p w:rsidR="004E4DF1" w:rsidRPr="00B77D69" w:rsidRDefault="004E4DF1" w:rsidP="004E4DF1">
      <w:pPr>
        <w:ind w:left="360"/>
      </w:pPr>
    </w:p>
    <w:p w:rsidR="004276A0" w:rsidRPr="00D43831" w:rsidRDefault="002C27CF" w:rsidP="00CF66A5">
      <w:pPr>
        <w:pStyle w:val="Heading1"/>
        <w:numPr>
          <w:ilvl w:val="1"/>
          <w:numId w:val="48"/>
        </w:numPr>
        <w:spacing w:line="360" w:lineRule="auto"/>
        <w:ind w:left="1440"/>
        <w:jc w:val="both"/>
        <w:rPr>
          <w:sz w:val="22"/>
          <w:szCs w:val="22"/>
        </w:rPr>
      </w:pPr>
      <w:bookmarkStart w:id="55" w:name="_Toc404940179"/>
      <w:r w:rsidRPr="00D43831">
        <w:rPr>
          <w:sz w:val="22"/>
          <w:szCs w:val="22"/>
        </w:rPr>
        <w:t>Truing up of ARR of N</w:t>
      </w:r>
      <w:r w:rsidR="004E4DF1" w:rsidRPr="00D43831">
        <w:rPr>
          <w:sz w:val="22"/>
          <w:szCs w:val="22"/>
        </w:rPr>
        <w:t xml:space="preserve">ESCO </w:t>
      </w:r>
      <w:r w:rsidR="00BF0657" w:rsidRPr="00D43831">
        <w:rPr>
          <w:sz w:val="22"/>
          <w:szCs w:val="22"/>
        </w:rPr>
        <w:t>as per ATE</w:t>
      </w:r>
      <w:r w:rsidR="004276A0" w:rsidRPr="00D43831">
        <w:rPr>
          <w:sz w:val="22"/>
          <w:szCs w:val="22"/>
        </w:rPr>
        <w:t xml:space="preserve"> Order</w:t>
      </w:r>
      <w:r w:rsidR="00BF0657" w:rsidRPr="00D43831">
        <w:rPr>
          <w:sz w:val="22"/>
          <w:szCs w:val="22"/>
        </w:rPr>
        <w:t>-</w:t>
      </w:r>
      <w:r w:rsidR="004276A0" w:rsidRPr="00D43831">
        <w:rPr>
          <w:sz w:val="22"/>
          <w:szCs w:val="22"/>
        </w:rPr>
        <w:t>3rd July 2013</w:t>
      </w:r>
      <w:bookmarkEnd w:id="55"/>
    </w:p>
    <w:p w:rsidR="004276A0" w:rsidRPr="00BF0E9D" w:rsidRDefault="004276A0" w:rsidP="004276A0">
      <w:pPr>
        <w:spacing w:line="360" w:lineRule="auto"/>
        <w:rPr>
          <w:rFonts w:ascii="Cambria" w:hAnsi="Cambria"/>
          <w:highlight w:val="yellow"/>
        </w:rPr>
      </w:pPr>
    </w:p>
    <w:p w:rsidR="004276A0" w:rsidRPr="00D43831" w:rsidRDefault="004276A0" w:rsidP="00D43831">
      <w:pPr>
        <w:spacing w:line="360" w:lineRule="auto"/>
        <w:jc w:val="both"/>
        <w:rPr>
          <w:rFonts w:ascii="Arial" w:hAnsi="Arial" w:cs="Arial"/>
          <w:sz w:val="22"/>
          <w:szCs w:val="22"/>
        </w:rPr>
      </w:pPr>
      <w:r w:rsidRPr="00D43831">
        <w:rPr>
          <w:rFonts w:ascii="Arial" w:hAnsi="Arial" w:cs="Arial"/>
          <w:sz w:val="22"/>
          <w:szCs w:val="22"/>
        </w:rPr>
        <w:t>The Hon’ble Commission issued Truing up for the years upto FY 2011 vide Order dated 19.03.2012 in Case No 29, 30 &amp; 32 /2007 and Case no 6,7&amp;8 /2012 and for FY 2012 in the RST Order for FY14 by applying principles as laid down in the earlier Order.  Aggrieved Discoms, had filed an appeal in the ATE being Appeal No 196 of 2012. The major observation of the Hon’ble ATE in their judgment dated 3rd July 2013 have been given hereunder :</w:t>
      </w:r>
    </w:p>
    <w:p w:rsidR="004276A0" w:rsidRPr="00D43831" w:rsidRDefault="004276A0" w:rsidP="00B04A3F">
      <w:pPr>
        <w:numPr>
          <w:ilvl w:val="0"/>
          <w:numId w:val="17"/>
        </w:numPr>
        <w:shd w:val="clear" w:color="auto" w:fill="FFFFFF"/>
        <w:spacing w:before="100" w:beforeAutospacing="1" w:after="100" w:afterAutospacing="1" w:line="360" w:lineRule="auto"/>
        <w:ind w:left="1042"/>
        <w:jc w:val="both"/>
        <w:rPr>
          <w:rFonts w:ascii="Arial" w:hAnsi="Arial" w:cs="Arial"/>
          <w:color w:val="222222"/>
          <w:sz w:val="22"/>
          <w:szCs w:val="22"/>
        </w:rPr>
      </w:pPr>
      <w:r w:rsidRPr="00D43831">
        <w:rPr>
          <w:rFonts w:ascii="Arial" w:hAnsi="Arial" w:cs="Arial"/>
          <w:b/>
          <w:bCs/>
          <w:color w:val="222222"/>
          <w:sz w:val="22"/>
          <w:szCs w:val="22"/>
        </w:rPr>
        <w:t>Notional Sales</w:t>
      </w:r>
      <w:r w:rsidRPr="00D43831">
        <w:rPr>
          <w:rFonts w:ascii="Arial" w:hAnsi="Arial" w:cs="Arial"/>
          <w:color w:val="222222"/>
          <w:sz w:val="22"/>
          <w:szCs w:val="22"/>
        </w:rPr>
        <w:t xml:space="preserve">: The Power Purchase Cost admissible to the distribution licensee has to be determined on the basis of the estimated sales revenue and the targeted distribution loss. The Power Purchase Cost on account of non-achievement of </w:t>
      </w:r>
      <w:r w:rsidRPr="00D43831">
        <w:rPr>
          <w:rFonts w:ascii="Arial" w:hAnsi="Arial" w:cs="Arial"/>
          <w:color w:val="222222"/>
          <w:sz w:val="22"/>
          <w:szCs w:val="22"/>
        </w:rPr>
        <w:lastRenderedPageBreak/>
        <w:t xml:space="preserve">distribution loss level at the average power purchase cost has to be borne by the distribution licensees and in this way the inefficiency of the distribution licensees is not passed on to the consumers. The method of notional sales as adopted by the State Commission is set aside. </w:t>
      </w:r>
    </w:p>
    <w:p w:rsidR="004276A0" w:rsidRPr="00D43831" w:rsidRDefault="004276A0" w:rsidP="00B04A3F">
      <w:pPr>
        <w:numPr>
          <w:ilvl w:val="0"/>
          <w:numId w:val="17"/>
        </w:numPr>
        <w:shd w:val="clear" w:color="auto" w:fill="FFFFFF"/>
        <w:spacing w:before="100" w:beforeAutospacing="1" w:after="100" w:afterAutospacing="1" w:line="360" w:lineRule="auto"/>
        <w:ind w:left="1042"/>
        <w:jc w:val="both"/>
        <w:rPr>
          <w:rFonts w:ascii="Arial" w:hAnsi="Arial" w:cs="Arial"/>
          <w:color w:val="222222"/>
          <w:sz w:val="22"/>
          <w:szCs w:val="22"/>
        </w:rPr>
      </w:pPr>
      <w:r w:rsidRPr="00D43831">
        <w:rPr>
          <w:rFonts w:ascii="Arial" w:hAnsi="Arial" w:cs="Arial"/>
          <w:b/>
          <w:bCs/>
          <w:color w:val="222222"/>
          <w:sz w:val="22"/>
          <w:szCs w:val="22"/>
        </w:rPr>
        <w:t>Fixation of Distribution Loss targets:</w:t>
      </w:r>
      <w:r w:rsidRPr="00D43831">
        <w:rPr>
          <w:rFonts w:ascii="Arial" w:hAnsi="Arial" w:cs="Arial"/>
          <w:color w:val="222222"/>
          <w:sz w:val="22"/>
          <w:szCs w:val="22"/>
        </w:rPr>
        <w:t> Infusion of funds is necessary to achieve the desired reduction in the distribution loss and if the desired funds could not be made available to the Appellants for reasons beyond their control, the loss trajectory has to be reset keeping in view the ground realities..</w:t>
      </w:r>
    </w:p>
    <w:p w:rsidR="004276A0" w:rsidRPr="00D43831" w:rsidRDefault="004276A0" w:rsidP="004276A0">
      <w:pPr>
        <w:shd w:val="clear" w:color="auto" w:fill="FFFFFF"/>
        <w:spacing w:before="100" w:beforeAutospacing="1" w:after="100" w:afterAutospacing="1" w:line="360" w:lineRule="auto"/>
        <w:ind w:left="1042"/>
        <w:jc w:val="both"/>
        <w:rPr>
          <w:rFonts w:ascii="Arial" w:hAnsi="Arial" w:cs="Arial"/>
          <w:color w:val="222222"/>
          <w:sz w:val="22"/>
          <w:szCs w:val="22"/>
        </w:rPr>
      </w:pPr>
      <w:r w:rsidRPr="00D43831">
        <w:rPr>
          <w:rFonts w:ascii="Arial" w:hAnsi="Arial" w:cs="Arial"/>
          <w:color w:val="222222"/>
          <w:sz w:val="22"/>
          <w:szCs w:val="22"/>
        </w:rPr>
        <w:t>OERC has been directed to consider the ground realities and the truing up based on the actual loss level. However the ATE directed the targets in any year would not be higher than the achieved loss levels. Thus the truing up would be based on the minimum loss level achieved in any previous year. Any increase in the loss level would be disallowed. Part of the power cost would be disallowed for the years in wh</w:t>
      </w:r>
      <w:r w:rsidR="00623A5B" w:rsidRPr="00D43831">
        <w:rPr>
          <w:rFonts w:ascii="Arial" w:hAnsi="Arial" w:cs="Arial"/>
          <w:color w:val="222222"/>
          <w:sz w:val="22"/>
          <w:szCs w:val="22"/>
        </w:rPr>
        <w:t>ich there is actual Distributio</w:t>
      </w:r>
      <w:r w:rsidRPr="00D43831">
        <w:rPr>
          <w:rFonts w:ascii="Arial" w:hAnsi="Arial" w:cs="Arial"/>
          <w:color w:val="222222"/>
          <w:sz w:val="22"/>
          <w:szCs w:val="22"/>
        </w:rPr>
        <w:t>nLoss higher than any of the previous year.</w:t>
      </w:r>
    </w:p>
    <w:p w:rsidR="004276A0" w:rsidRPr="00BF0E9D" w:rsidRDefault="004276A0" w:rsidP="004276A0">
      <w:pPr>
        <w:shd w:val="clear" w:color="auto" w:fill="FFFFFF"/>
        <w:spacing w:before="100" w:beforeAutospacing="1" w:after="100" w:afterAutospacing="1" w:line="360" w:lineRule="auto"/>
        <w:jc w:val="both"/>
        <w:rPr>
          <w:rFonts w:ascii="Cambria" w:hAnsi="Cambria" w:cs="Arial"/>
          <w:color w:val="222222"/>
        </w:rPr>
      </w:pPr>
      <w:r w:rsidRPr="00D43831">
        <w:rPr>
          <w:rFonts w:ascii="Arial" w:hAnsi="Arial" w:cs="Arial"/>
          <w:sz w:val="22"/>
          <w:szCs w:val="22"/>
        </w:rPr>
        <w:t>The Hon’ble ATE in the said Order directe</w:t>
      </w:r>
      <w:r w:rsidR="003D3005">
        <w:rPr>
          <w:rFonts w:ascii="Arial" w:hAnsi="Arial" w:cs="Arial"/>
          <w:sz w:val="22"/>
          <w:szCs w:val="22"/>
        </w:rPr>
        <w:t>d for truing up of the ARR of D</w:t>
      </w:r>
      <w:r w:rsidRPr="00D43831">
        <w:rPr>
          <w:rFonts w:ascii="Arial" w:hAnsi="Arial" w:cs="Arial"/>
          <w:sz w:val="22"/>
          <w:szCs w:val="22"/>
        </w:rPr>
        <w:t>i</w:t>
      </w:r>
      <w:r w:rsidR="003D3005">
        <w:rPr>
          <w:rFonts w:ascii="Arial" w:hAnsi="Arial" w:cs="Arial"/>
          <w:sz w:val="22"/>
          <w:szCs w:val="22"/>
        </w:rPr>
        <w:t>s</w:t>
      </w:r>
      <w:r w:rsidRPr="00D43831">
        <w:rPr>
          <w:rFonts w:ascii="Arial" w:hAnsi="Arial" w:cs="Arial"/>
          <w:sz w:val="22"/>
          <w:szCs w:val="22"/>
        </w:rPr>
        <w:t>coms within 6 months after issue of the Order. The Licensee humbly submit</w:t>
      </w:r>
      <w:r w:rsidR="003D3005">
        <w:rPr>
          <w:rFonts w:ascii="Arial" w:hAnsi="Arial" w:cs="Arial"/>
          <w:sz w:val="22"/>
          <w:szCs w:val="22"/>
        </w:rPr>
        <w:t>s</w:t>
      </w:r>
      <w:r w:rsidRPr="00D43831">
        <w:rPr>
          <w:rFonts w:ascii="Arial" w:hAnsi="Arial" w:cs="Arial"/>
          <w:sz w:val="22"/>
          <w:szCs w:val="22"/>
        </w:rPr>
        <w:t xml:space="preserve"> the Hon’ble Commission for kind issue of the necessary relief and shall be obliged to submit further details as required by the Hon’ble commission in this regard. However, pending grant of the Regulatory Asset(RA) as per the Hon’ble ATE Order, the Licensee considered the RA  of Rs.</w:t>
      </w:r>
      <w:r w:rsidR="002C27CF" w:rsidRPr="00D43831">
        <w:rPr>
          <w:rFonts w:ascii="Arial" w:hAnsi="Arial" w:cs="Arial"/>
          <w:sz w:val="22"/>
          <w:szCs w:val="22"/>
        </w:rPr>
        <w:t xml:space="preserve"> 818.06</w:t>
      </w:r>
      <w:r w:rsidRPr="00D43831">
        <w:rPr>
          <w:rFonts w:ascii="Arial" w:hAnsi="Arial" w:cs="Arial"/>
          <w:sz w:val="22"/>
          <w:szCs w:val="22"/>
        </w:rPr>
        <w:t xml:space="preserve"> Crore provided in Audited Accounts upto 31.3.2014 following various regulations and Orders and submit the Hon’ble Commission to allow 1/10th amount i.e Rs. </w:t>
      </w:r>
      <w:r w:rsidR="002C27CF" w:rsidRPr="00D43831">
        <w:rPr>
          <w:rFonts w:ascii="Arial" w:hAnsi="Arial" w:cs="Arial"/>
          <w:sz w:val="22"/>
          <w:szCs w:val="22"/>
        </w:rPr>
        <w:t>81.81</w:t>
      </w:r>
      <w:r w:rsidRPr="00D43831">
        <w:rPr>
          <w:rFonts w:ascii="Arial" w:hAnsi="Arial" w:cs="Arial"/>
          <w:sz w:val="22"/>
          <w:szCs w:val="22"/>
        </w:rPr>
        <w:t xml:space="preserve"> Crore for amortization in this year Tariff Order</w:t>
      </w:r>
      <w:r w:rsidRPr="00BF0E9D">
        <w:rPr>
          <w:rFonts w:ascii="Cambria" w:hAnsi="Cambria" w:cs="Arial"/>
          <w:color w:val="222222"/>
        </w:rPr>
        <w:t>.</w:t>
      </w:r>
    </w:p>
    <w:p w:rsidR="004276A0" w:rsidRPr="00BF0E9D" w:rsidRDefault="004276A0" w:rsidP="00CF66A5">
      <w:pPr>
        <w:pStyle w:val="Heading1"/>
        <w:numPr>
          <w:ilvl w:val="1"/>
          <w:numId w:val="48"/>
        </w:numPr>
        <w:spacing w:line="360" w:lineRule="auto"/>
        <w:ind w:left="1440"/>
        <w:jc w:val="both"/>
        <w:rPr>
          <w:rFonts w:ascii="Cambria" w:hAnsi="Cambria"/>
          <w:sz w:val="24"/>
          <w:szCs w:val="24"/>
        </w:rPr>
      </w:pPr>
      <w:bookmarkStart w:id="56" w:name="RANGE_A1_K17"/>
      <w:bookmarkStart w:id="57" w:name="_Toc404940180"/>
      <w:bookmarkEnd w:id="56"/>
      <w:r w:rsidRPr="00BF0E9D">
        <w:rPr>
          <w:rFonts w:ascii="Cambria" w:hAnsi="Cambria"/>
          <w:sz w:val="24"/>
          <w:szCs w:val="24"/>
        </w:rPr>
        <w:t>TRUING UP FOR FY 2013-14</w:t>
      </w:r>
      <w:bookmarkEnd w:id="57"/>
    </w:p>
    <w:p w:rsidR="004276A0" w:rsidRPr="00D43831" w:rsidRDefault="004276A0" w:rsidP="004276A0">
      <w:pPr>
        <w:shd w:val="clear" w:color="auto" w:fill="FFFFFF"/>
        <w:spacing w:before="100" w:beforeAutospacing="1" w:after="100" w:afterAutospacing="1" w:line="360" w:lineRule="auto"/>
        <w:jc w:val="both"/>
        <w:rPr>
          <w:rFonts w:ascii="Arial" w:hAnsi="Arial" w:cs="Arial"/>
          <w:color w:val="222222"/>
          <w:sz w:val="22"/>
          <w:szCs w:val="22"/>
        </w:rPr>
      </w:pPr>
      <w:r w:rsidRPr="00D43831">
        <w:rPr>
          <w:rFonts w:ascii="Arial" w:hAnsi="Arial" w:cs="Arial"/>
          <w:color w:val="222222"/>
          <w:sz w:val="22"/>
          <w:szCs w:val="22"/>
        </w:rPr>
        <w:t>The Licensee has completed the Annual Accounts for the FY 2013-14 and based on the Audited income and expenses, the Revenue Gap is committed and accordingly RA has been provided in the Account and submitted as under;</w:t>
      </w:r>
    </w:p>
    <w:p w:rsidR="00B30285" w:rsidRPr="00D43831" w:rsidRDefault="00B30285" w:rsidP="00B30285">
      <w:pPr>
        <w:shd w:val="clear" w:color="auto" w:fill="FFFFFF"/>
        <w:spacing w:before="100" w:beforeAutospacing="1" w:after="100" w:afterAutospacing="1" w:line="360" w:lineRule="auto"/>
        <w:jc w:val="center"/>
        <w:rPr>
          <w:rFonts w:ascii="Arial" w:hAnsi="Arial" w:cs="Arial"/>
          <w:b/>
          <w:color w:val="222222"/>
          <w:sz w:val="22"/>
          <w:szCs w:val="22"/>
        </w:rPr>
      </w:pPr>
      <w:r w:rsidRPr="00D43831">
        <w:rPr>
          <w:rFonts w:ascii="Arial" w:hAnsi="Arial" w:cs="Arial"/>
          <w:b/>
          <w:color w:val="222222"/>
          <w:sz w:val="22"/>
          <w:szCs w:val="22"/>
        </w:rPr>
        <w:t xml:space="preserve">                                                                                                Rs. In lakhs</w:t>
      </w:r>
    </w:p>
    <w:tbl>
      <w:tblPr>
        <w:tblW w:w="8188" w:type="dxa"/>
        <w:tblLook w:val="04A0"/>
      </w:tblPr>
      <w:tblGrid>
        <w:gridCol w:w="545"/>
        <w:gridCol w:w="5897"/>
        <w:gridCol w:w="1746"/>
      </w:tblGrid>
      <w:tr w:rsidR="00B30285" w:rsidRPr="00D43831" w:rsidTr="00B30285">
        <w:trPr>
          <w:trHeight w:val="279"/>
          <w:tblHeader/>
        </w:trPr>
        <w:tc>
          <w:tcPr>
            <w:tcW w:w="54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B30285" w:rsidRPr="00D43831" w:rsidRDefault="00B30285" w:rsidP="00B30285">
            <w:pPr>
              <w:spacing w:line="360" w:lineRule="auto"/>
              <w:jc w:val="center"/>
              <w:rPr>
                <w:rFonts w:ascii="Arial" w:hAnsi="Arial" w:cs="Arial"/>
                <w:bCs/>
                <w:sz w:val="22"/>
                <w:szCs w:val="22"/>
              </w:rPr>
            </w:pPr>
            <w:r w:rsidRPr="00D43831">
              <w:rPr>
                <w:rFonts w:ascii="Arial" w:hAnsi="Arial" w:cs="Arial"/>
                <w:bCs/>
                <w:sz w:val="22"/>
                <w:szCs w:val="22"/>
              </w:rPr>
              <w:t> </w:t>
            </w:r>
          </w:p>
        </w:tc>
        <w:tc>
          <w:tcPr>
            <w:tcW w:w="5897" w:type="dxa"/>
            <w:tcBorders>
              <w:top w:val="single" w:sz="8" w:space="0" w:color="auto"/>
              <w:left w:val="nil"/>
              <w:bottom w:val="single" w:sz="4" w:space="0" w:color="auto"/>
              <w:right w:val="single" w:sz="4" w:space="0" w:color="auto"/>
            </w:tcBorders>
            <w:shd w:val="clear" w:color="auto" w:fill="auto"/>
            <w:vAlign w:val="center"/>
            <w:hideMark/>
          </w:tcPr>
          <w:p w:rsidR="00B30285" w:rsidRPr="00D43831" w:rsidRDefault="00B30285" w:rsidP="00B30285">
            <w:pPr>
              <w:spacing w:line="360" w:lineRule="auto"/>
              <w:jc w:val="center"/>
              <w:rPr>
                <w:rFonts w:ascii="Arial" w:hAnsi="Arial" w:cs="Arial"/>
                <w:bCs/>
                <w:sz w:val="22"/>
                <w:szCs w:val="22"/>
              </w:rPr>
            </w:pPr>
            <w:r w:rsidRPr="00D43831">
              <w:rPr>
                <w:rFonts w:ascii="Arial" w:hAnsi="Arial" w:cs="Arial"/>
                <w:bCs/>
                <w:sz w:val="22"/>
                <w:szCs w:val="22"/>
              </w:rPr>
              <w:t> </w:t>
            </w:r>
          </w:p>
        </w:tc>
        <w:tc>
          <w:tcPr>
            <w:tcW w:w="1746" w:type="dxa"/>
            <w:tcBorders>
              <w:top w:val="single" w:sz="8" w:space="0" w:color="auto"/>
              <w:left w:val="nil"/>
              <w:bottom w:val="single" w:sz="4" w:space="0" w:color="auto"/>
              <w:right w:val="single" w:sz="8" w:space="0" w:color="auto"/>
            </w:tcBorders>
            <w:shd w:val="clear" w:color="auto" w:fill="auto"/>
            <w:vAlign w:val="center"/>
            <w:hideMark/>
          </w:tcPr>
          <w:p w:rsidR="00B30285" w:rsidRPr="00D43831" w:rsidRDefault="00B30285" w:rsidP="00B30285">
            <w:pPr>
              <w:spacing w:line="360" w:lineRule="auto"/>
              <w:jc w:val="center"/>
              <w:rPr>
                <w:rFonts w:ascii="Arial" w:hAnsi="Arial" w:cs="Arial"/>
                <w:b/>
                <w:bCs/>
                <w:sz w:val="22"/>
                <w:szCs w:val="22"/>
              </w:rPr>
            </w:pPr>
            <w:r w:rsidRPr="00D43831">
              <w:rPr>
                <w:rFonts w:ascii="Arial" w:hAnsi="Arial" w:cs="Arial"/>
                <w:b/>
                <w:bCs/>
                <w:sz w:val="22"/>
                <w:szCs w:val="22"/>
              </w:rPr>
              <w:t>FY 2013-14</w:t>
            </w:r>
          </w:p>
        </w:tc>
      </w:tr>
      <w:tr w:rsidR="00B30285" w:rsidRPr="00D43831" w:rsidTr="00B30285">
        <w:trPr>
          <w:trHeight w:val="279"/>
          <w:tblHeader/>
        </w:trPr>
        <w:tc>
          <w:tcPr>
            <w:tcW w:w="54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B30285" w:rsidRPr="00D43831" w:rsidRDefault="00B30285" w:rsidP="00B30285">
            <w:pPr>
              <w:spacing w:line="360" w:lineRule="auto"/>
              <w:jc w:val="center"/>
              <w:rPr>
                <w:rFonts w:ascii="Arial" w:hAnsi="Arial" w:cs="Arial"/>
                <w:bCs/>
                <w:sz w:val="22"/>
                <w:szCs w:val="22"/>
              </w:rPr>
            </w:pPr>
            <w:r w:rsidRPr="00D43831">
              <w:rPr>
                <w:rFonts w:ascii="Arial" w:hAnsi="Arial" w:cs="Arial"/>
                <w:bCs/>
                <w:sz w:val="22"/>
                <w:szCs w:val="22"/>
              </w:rPr>
              <w:t>1</w:t>
            </w:r>
          </w:p>
        </w:tc>
        <w:tc>
          <w:tcPr>
            <w:tcW w:w="5897" w:type="dxa"/>
            <w:tcBorders>
              <w:top w:val="single" w:sz="8" w:space="0" w:color="auto"/>
              <w:left w:val="nil"/>
              <w:bottom w:val="single" w:sz="4" w:space="0" w:color="auto"/>
              <w:right w:val="single" w:sz="4" w:space="0" w:color="auto"/>
            </w:tcBorders>
            <w:shd w:val="clear" w:color="auto" w:fill="auto"/>
            <w:vAlign w:val="center"/>
            <w:hideMark/>
          </w:tcPr>
          <w:p w:rsidR="00B30285" w:rsidRPr="00D43831" w:rsidRDefault="00B30285" w:rsidP="00B30285">
            <w:pPr>
              <w:spacing w:line="360" w:lineRule="auto"/>
              <w:rPr>
                <w:rFonts w:ascii="Arial" w:hAnsi="Arial" w:cs="Arial"/>
                <w:bCs/>
                <w:sz w:val="22"/>
                <w:szCs w:val="22"/>
              </w:rPr>
            </w:pPr>
            <w:r w:rsidRPr="00D43831">
              <w:rPr>
                <w:rFonts w:ascii="Arial" w:hAnsi="Arial" w:cs="Arial"/>
                <w:bCs/>
                <w:sz w:val="22"/>
                <w:szCs w:val="22"/>
              </w:rPr>
              <w:t>Power Purchase</w:t>
            </w:r>
          </w:p>
        </w:tc>
        <w:tc>
          <w:tcPr>
            <w:tcW w:w="1746" w:type="dxa"/>
            <w:tcBorders>
              <w:top w:val="single" w:sz="8" w:space="0" w:color="auto"/>
              <w:left w:val="nil"/>
              <w:bottom w:val="single" w:sz="4" w:space="0" w:color="auto"/>
              <w:right w:val="single" w:sz="8" w:space="0" w:color="auto"/>
            </w:tcBorders>
            <w:shd w:val="clear" w:color="auto" w:fill="auto"/>
            <w:vAlign w:val="center"/>
            <w:hideMark/>
          </w:tcPr>
          <w:p w:rsidR="00B30285" w:rsidRPr="00D43831" w:rsidRDefault="00B30285" w:rsidP="00B30285">
            <w:pPr>
              <w:spacing w:line="360" w:lineRule="auto"/>
              <w:jc w:val="right"/>
              <w:rPr>
                <w:rFonts w:ascii="Arial" w:hAnsi="Arial" w:cs="Arial"/>
                <w:bCs/>
                <w:sz w:val="22"/>
                <w:szCs w:val="22"/>
              </w:rPr>
            </w:pPr>
            <w:r w:rsidRPr="00D43831">
              <w:rPr>
                <w:rFonts w:ascii="Arial" w:hAnsi="Arial" w:cs="Arial"/>
                <w:bCs/>
                <w:sz w:val="22"/>
                <w:szCs w:val="22"/>
              </w:rPr>
              <w:t xml:space="preserve">155223.18 </w:t>
            </w:r>
          </w:p>
        </w:tc>
      </w:tr>
      <w:tr w:rsidR="00B30285" w:rsidRPr="00D43831" w:rsidTr="00B30285">
        <w:trPr>
          <w:trHeight w:val="279"/>
          <w:tblHeader/>
        </w:trPr>
        <w:tc>
          <w:tcPr>
            <w:tcW w:w="54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B30285" w:rsidRPr="00D43831" w:rsidRDefault="00B30285" w:rsidP="00B30285">
            <w:pPr>
              <w:spacing w:line="360" w:lineRule="auto"/>
              <w:jc w:val="center"/>
              <w:rPr>
                <w:rFonts w:ascii="Arial" w:hAnsi="Arial" w:cs="Arial"/>
                <w:bCs/>
                <w:sz w:val="22"/>
                <w:szCs w:val="22"/>
              </w:rPr>
            </w:pPr>
            <w:r w:rsidRPr="00D43831">
              <w:rPr>
                <w:rFonts w:ascii="Arial" w:hAnsi="Arial" w:cs="Arial"/>
                <w:bCs/>
                <w:sz w:val="22"/>
                <w:szCs w:val="22"/>
              </w:rPr>
              <w:t>2</w:t>
            </w:r>
          </w:p>
        </w:tc>
        <w:tc>
          <w:tcPr>
            <w:tcW w:w="5897" w:type="dxa"/>
            <w:tcBorders>
              <w:top w:val="single" w:sz="8" w:space="0" w:color="auto"/>
              <w:left w:val="nil"/>
              <w:bottom w:val="single" w:sz="4" w:space="0" w:color="auto"/>
              <w:right w:val="single" w:sz="4" w:space="0" w:color="auto"/>
            </w:tcBorders>
            <w:shd w:val="clear" w:color="auto" w:fill="auto"/>
            <w:vAlign w:val="center"/>
            <w:hideMark/>
          </w:tcPr>
          <w:p w:rsidR="00B30285" w:rsidRPr="00D43831" w:rsidRDefault="00B30285" w:rsidP="00B30285">
            <w:pPr>
              <w:spacing w:line="360" w:lineRule="auto"/>
              <w:rPr>
                <w:rFonts w:ascii="Arial" w:hAnsi="Arial" w:cs="Arial"/>
                <w:bCs/>
                <w:sz w:val="22"/>
                <w:szCs w:val="22"/>
              </w:rPr>
            </w:pPr>
            <w:r w:rsidRPr="00D43831">
              <w:rPr>
                <w:rFonts w:ascii="Arial" w:hAnsi="Arial" w:cs="Arial"/>
                <w:bCs/>
                <w:sz w:val="22"/>
                <w:szCs w:val="22"/>
              </w:rPr>
              <w:t>Distribution Costs</w:t>
            </w:r>
          </w:p>
        </w:tc>
        <w:tc>
          <w:tcPr>
            <w:tcW w:w="1746" w:type="dxa"/>
            <w:tcBorders>
              <w:top w:val="single" w:sz="8" w:space="0" w:color="auto"/>
              <w:left w:val="nil"/>
              <w:bottom w:val="single" w:sz="4" w:space="0" w:color="auto"/>
              <w:right w:val="single" w:sz="8" w:space="0" w:color="auto"/>
            </w:tcBorders>
            <w:shd w:val="clear" w:color="auto" w:fill="auto"/>
            <w:vAlign w:val="center"/>
            <w:hideMark/>
          </w:tcPr>
          <w:p w:rsidR="00B30285" w:rsidRPr="00D43831" w:rsidRDefault="00B30285" w:rsidP="00B30285">
            <w:pPr>
              <w:spacing w:line="360" w:lineRule="auto"/>
              <w:jc w:val="right"/>
              <w:rPr>
                <w:rFonts w:ascii="Arial" w:hAnsi="Arial" w:cs="Arial"/>
                <w:bCs/>
                <w:sz w:val="22"/>
                <w:szCs w:val="22"/>
              </w:rPr>
            </w:pPr>
            <w:r w:rsidRPr="00D43831">
              <w:rPr>
                <w:rFonts w:ascii="Arial" w:hAnsi="Arial" w:cs="Arial"/>
                <w:bCs/>
                <w:sz w:val="22"/>
                <w:szCs w:val="22"/>
              </w:rPr>
              <w:t> </w:t>
            </w:r>
          </w:p>
        </w:tc>
      </w:tr>
      <w:tr w:rsidR="00B30285" w:rsidRPr="00D43831" w:rsidTr="00B30285">
        <w:trPr>
          <w:trHeight w:val="279"/>
          <w:tblHeader/>
        </w:trPr>
        <w:tc>
          <w:tcPr>
            <w:tcW w:w="54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B30285" w:rsidRPr="00D43831" w:rsidRDefault="00B30285" w:rsidP="00B30285">
            <w:pPr>
              <w:spacing w:line="360" w:lineRule="auto"/>
              <w:jc w:val="center"/>
              <w:rPr>
                <w:rFonts w:ascii="Arial" w:hAnsi="Arial" w:cs="Arial"/>
                <w:bCs/>
                <w:sz w:val="22"/>
                <w:szCs w:val="22"/>
              </w:rPr>
            </w:pPr>
            <w:r w:rsidRPr="00D43831">
              <w:rPr>
                <w:rFonts w:ascii="Arial" w:hAnsi="Arial" w:cs="Arial"/>
                <w:bCs/>
                <w:sz w:val="22"/>
                <w:szCs w:val="22"/>
              </w:rPr>
              <w:t> </w:t>
            </w:r>
          </w:p>
        </w:tc>
        <w:tc>
          <w:tcPr>
            <w:tcW w:w="5897" w:type="dxa"/>
            <w:tcBorders>
              <w:top w:val="single" w:sz="8" w:space="0" w:color="auto"/>
              <w:left w:val="nil"/>
              <w:bottom w:val="single" w:sz="4" w:space="0" w:color="auto"/>
              <w:right w:val="single" w:sz="4" w:space="0" w:color="auto"/>
            </w:tcBorders>
            <w:shd w:val="clear" w:color="auto" w:fill="auto"/>
            <w:vAlign w:val="center"/>
            <w:hideMark/>
          </w:tcPr>
          <w:p w:rsidR="00B30285" w:rsidRPr="00D43831" w:rsidRDefault="00B30285" w:rsidP="00B30285">
            <w:pPr>
              <w:spacing w:line="360" w:lineRule="auto"/>
              <w:rPr>
                <w:rFonts w:ascii="Arial" w:hAnsi="Arial" w:cs="Arial"/>
                <w:bCs/>
                <w:sz w:val="22"/>
                <w:szCs w:val="22"/>
              </w:rPr>
            </w:pPr>
            <w:r w:rsidRPr="00D43831">
              <w:rPr>
                <w:rFonts w:ascii="Arial" w:hAnsi="Arial" w:cs="Arial"/>
                <w:bCs/>
                <w:sz w:val="22"/>
                <w:szCs w:val="22"/>
              </w:rPr>
              <w:t>a)  Employees cost</w:t>
            </w:r>
          </w:p>
        </w:tc>
        <w:tc>
          <w:tcPr>
            <w:tcW w:w="1746" w:type="dxa"/>
            <w:tcBorders>
              <w:top w:val="single" w:sz="8" w:space="0" w:color="auto"/>
              <w:left w:val="nil"/>
              <w:bottom w:val="single" w:sz="4" w:space="0" w:color="auto"/>
              <w:right w:val="single" w:sz="8" w:space="0" w:color="auto"/>
            </w:tcBorders>
            <w:shd w:val="clear" w:color="auto" w:fill="auto"/>
            <w:vAlign w:val="center"/>
            <w:hideMark/>
          </w:tcPr>
          <w:p w:rsidR="00B30285" w:rsidRPr="00D43831" w:rsidRDefault="00B30285" w:rsidP="00B30285">
            <w:pPr>
              <w:spacing w:line="360" w:lineRule="auto"/>
              <w:jc w:val="right"/>
              <w:rPr>
                <w:rFonts w:ascii="Arial" w:hAnsi="Arial" w:cs="Arial"/>
                <w:bCs/>
                <w:sz w:val="22"/>
                <w:szCs w:val="22"/>
              </w:rPr>
            </w:pPr>
            <w:r w:rsidRPr="00D43831">
              <w:rPr>
                <w:rFonts w:ascii="Arial" w:hAnsi="Arial" w:cs="Arial"/>
                <w:bCs/>
                <w:sz w:val="22"/>
                <w:szCs w:val="22"/>
              </w:rPr>
              <w:t xml:space="preserve">21183.57 </w:t>
            </w:r>
          </w:p>
        </w:tc>
      </w:tr>
      <w:tr w:rsidR="00B30285" w:rsidRPr="00D43831" w:rsidTr="00B30285">
        <w:trPr>
          <w:trHeight w:val="279"/>
          <w:tblHeader/>
        </w:trPr>
        <w:tc>
          <w:tcPr>
            <w:tcW w:w="54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B30285" w:rsidRPr="00D43831" w:rsidRDefault="00B30285" w:rsidP="00B30285">
            <w:pPr>
              <w:spacing w:line="360" w:lineRule="auto"/>
              <w:jc w:val="center"/>
              <w:rPr>
                <w:rFonts w:ascii="Arial" w:hAnsi="Arial" w:cs="Arial"/>
                <w:bCs/>
                <w:sz w:val="22"/>
                <w:szCs w:val="22"/>
              </w:rPr>
            </w:pPr>
            <w:r w:rsidRPr="00D43831">
              <w:rPr>
                <w:rFonts w:ascii="Arial" w:hAnsi="Arial" w:cs="Arial"/>
                <w:bCs/>
                <w:sz w:val="22"/>
                <w:szCs w:val="22"/>
              </w:rPr>
              <w:lastRenderedPageBreak/>
              <w:t> </w:t>
            </w:r>
          </w:p>
        </w:tc>
        <w:tc>
          <w:tcPr>
            <w:tcW w:w="5897" w:type="dxa"/>
            <w:tcBorders>
              <w:top w:val="single" w:sz="8" w:space="0" w:color="auto"/>
              <w:left w:val="nil"/>
              <w:bottom w:val="single" w:sz="4" w:space="0" w:color="auto"/>
              <w:right w:val="single" w:sz="4" w:space="0" w:color="auto"/>
            </w:tcBorders>
            <w:shd w:val="clear" w:color="auto" w:fill="auto"/>
            <w:vAlign w:val="center"/>
            <w:hideMark/>
          </w:tcPr>
          <w:p w:rsidR="00B30285" w:rsidRPr="00D43831" w:rsidRDefault="00B30285" w:rsidP="00B30285">
            <w:pPr>
              <w:spacing w:line="360" w:lineRule="auto"/>
              <w:rPr>
                <w:rFonts w:ascii="Arial" w:hAnsi="Arial" w:cs="Arial"/>
                <w:bCs/>
                <w:sz w:val="22"/>
                <w:szCs w:val="22"/>
              </w:rPr>
            </w:pPr>
            <w:r w:rsidRPr="00D43831">
              <w:rPr>
                <w:rFonts w:ascii="Arial" w:hAnsi="Arial" w:cs="Arial"/>
                <w:bCs/>
                <w:sz w:val="22"/>
                <w:szCs w:val="22"/>
              </w:rPr>
              <w:t>b)  Repair and Maintenance cost</w:t>
            </w:r>
          </w:p>
        </w:tc>
        <w:tc>
          <w:tcPr>
            <w:tcW w:w="1746" w:type="dxa"/>
            <w:tcBorders>
              <w:top w:val="single" w:sz="8" w:space="0" w:color="auto"/>
              <w:left w:val="nil"/>
              <w:bottom w:val="single" w:sz="4" w:space="0" w:color="auto"/>
              <w:right w:val="single" w:sz="8" w:space="0" w:color="auto"/>
            </w:tcBorders>
            <w:shd w:val="clear" w:color="auto" w:fill="auto"/>
            <w:vAlign w:val="center"/>
            <w:hideMark/>
          </w:tcPr>
          <w:p w:rsidR="00B30285" w:rsidRPr="00D43831" w:rsidRDefault="00B30285" w:rsidP="00B30285">
            <w:pPr>
              <w:spacing w:line="360" w:lineRule="auto"/>
              <w:jc w:val="right"/>
              <w:rPr>
                <w:rFonts w:ascii="Arial" w:hAnsi="Arial" w:cs="Arial"/>
                <w:bCs/>
                <w:sz w:val="22"/>
                <w:szCs w:val="22"/>
              </w:rPr>
            </w:pPr>
            <w:r w:rsidRPr="00D43831">
              <w:rPr>
                <w:rFonts w:ascii="Arial" w:hAnsi="Arial" w:cs="Arial"/>
                <w:bCs/>
                <w:sz w:val="22"/>
                <w:szCs w:val="22"/>
              </w:rPr>
              <w:t xml:space="preserve">1615.73 </w:t>
            </w:r>
          </w:p>
        </w:tc>
      </w:tr>
      <w:tr w:rsidR="00B30285" w:rsidRPr="00D43831" w:rsidTr="00B30285">
        <w:trPr>
          <w:trHeight w:val="279"/>
          <w:tblHeader/>
        </w:trPr>
        <w:tc>
          <w:tcPr>
            <w:tcW w:w="54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B30285" w:rsidRPr="00D43831" w:rsidRDefault="00B30285" w:rsidP="00B30285">
            <w:pPr>
              <w:spacing w:line="360" w:lineRule="auto"/>
              <w:jc w:val="center"/>
              <w:rPr>
                <w:rFonts w:ascii="Arial" w:hAnsi="Arial" w:cs="Arial"/>
                <w:bCs/>
                <w:sz w:val="22"/>
                <w:szCs w:val="22"/>
              </w:rPr>
            </w:pPr>
            <w:r w:rsidRPr="00D43831">
              <w:rPr>
                <w:rFonts w:ascii="Arial" w:hAnsi="Arial" w:cs="Arial"/>
                <w:bCs/>
                <w:sz w:val="22"/>
                <w:szCs w:val="22"/>
              </w:rPr>
              <w:t> </w:t>
            </w:r>
          </w:p>
        </w:tc>
        <w:tc>
          <w:tcPr>
            <w:tcW w:w="5897" w:type="dxa"/>
            <w:tcBorders>
              <w:top w:val="single" w:sz="8" w:space="0" w:color="auto"/>
              <w:left w:val="nil"/>
              <w:bottom w:val="single" w:sz="4" w:space="0" w:color="auto"/>
              <w:right w:val="single" w:sz="4" w:space="0" w:color="auto"/>
            </w:tcBorders>
            <w:shd w:val="clear" w:color="auto" w:fill="auto"/>
            <w:vAlign w:val="center"/>
            <w:hideMark/>
          </w:tcPr>
          <w:p w:rsidR="00B30285" w:rsidRPr="00D43831" w:rsidRDefault="00B30285" w:rsidP="00B30285">
            <w:pPr>
              <w:spacing w:line="360" w:lineRule="auto"/>
              <w:rPr>
                <w:rFonts w:ascii="Arial" w:hAnsi="Arial" w:cs="Arial"/>
                <w:bCs/>
                <w:sz w:val="22"/>
                <w:szCs w:val="22"/>
              </w:rPr>
            </w:pPr>
            <w:r w:rsidRPr="00D43831">
              <w:rPr>
                <w:rFonts w:ascii="Arial" w:hAnsi="Arial" w:cs="Arial"/>
                <w:bCs/>
                <w:sz w:val="22"/>
                <w:szCs w:val="22"/>
              </w:rPr>
              <w:t>c)  Admn. &amp; General Expenses</w:t>
            </w:r>
          </w:p>
        </w:tc>
        <w:tc>
          <w:tcPr>
            <w:tcW w:w="1746" w:type="dxa"/>
            <w:tcBorders>
              <w:top w:val="single" w:sz="8" w:space="0" w:color="auto"/>
              <w:left w:val="nil"/>
              <w:bottom w:val="single" w:sz="4" w:space="0" w:color="auto"/>
              <w:right w:val="single" w:sz="8" w:space="0" w:color="auto"/>
            </w:tcBorders>
            <w:shd w:val="clear" w:color="auto" w:fill="auto"/>
            <w:vAlign w:val="center"/>
            <w:hideMark/>
          </w:tcPr>
          <w:p w:rsidR="00B30285" w:rsidRPr="00D43831" w:rsidRDefault="00B30285" w:rsidP="00B30285">
            <w:pPr>
              <w:spacing w:line="360" w:lineRule="auto"/>
              <w:jc w:val="right"/>
              <w:rPr>
                <w:rFonts w:ascii="Arial" w:hAnsi="Arial" w:cs="Arial"/>
                <w:bCs/>
                <w:sz w:val="22"/>
                <w:szCs w:val="22"/>
              </w:rPr>
            </w:pPr>
            <w:r w:rsidRPr="00D43831">
              <w:rPr>
                <w:rFonts w:ascii="Arial" w:hAnsi="Arial" w:cs="Arial"/>
                <w:bCs/>
                <w:sz w:val="22"/>
                <w:szCs w:val="22"/>
              </w:rPr>
              <w:t xml:space="preserve">5745.10 </w:t>
            </w:r>
          </w:p>
        </w:tc>
      </w:tr>
      <w:tr w:rsidR="00B30285" w:rsidRPr="00D43831" w:rsidTr="00B30285">
        <w:trPr>
          <w:trHeight w:val="279"/>
          <w:tblHeader/>
        </w:trPr>
        <w:tc>
          <w:tcPr>
            <w:tcW w:w="54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B30285" w:rsidRPr="00D43831" w:rsidRDefault="00B30285" w:rsidP="00B30285">
            <w:pPr>
              <w:spacing w:line="360" w:lineRule="auto"/>
              <w:jc w:val="center"/>
              <w:rPr>
                <w:rFonts w:ascii="Arial" w:hAnsi="Arial" w:cs="Arial"/>
                <w:bCs/>
                <w:sz w:val="22"/>
                <w:szCs w:val="22"/>
              </w:rPr>
            </w:pPr>
            <w:r w:rsidRPr="00D43831">
              <w:rPr>
                <w:rFonts w:ascii="Arial" w:hAnsi="Arial" w:cs="Arial"/>
                <w:bCs/>
                <w:sz w:val="22"/>
                <w:szCs w:val="22"/>
              </w:rPr>
              <w:t> </w:t>
            </w:r>
          </w:p>
        </w:tc>
        <w:tc>
          <w:tcPr>
            <w:tcW w:w="5897" w:type="dxa"/>
            <w:tcBorders>
              <w:top w:val="single" w:sz="8" w:space="0" w:color="auto"/>
              <w:left w:val="nil"/>
              <w:bottom w:val="single" w:sz="4" w:space="0" w:color="auto"/>
              <w:right w:val="single" w:sz="4" w:space="0" w:color="auto"/>
            </w:tcBorders>
            <w:shd w:val="clear" w:color="auto" w:fill="auto"/>
            <w:vAlign w:val="center"/>
            <w:hideMark/>
          </w:tcPr>
          <w:p w:rsidR="00B30285" w:rsidRPr="00D43831" w:rsidRDefault="00B30285" w:rsidP="00B30285">
            <w:pPr>
              <w:spacing w:line="360" w:lineRule="auto"/>
              <w:rPr>
                <w:rFonts w:ascii="Arial" w:hAnsi="Arial" w:cs="Arial"/>
                <w:bCs/>
                <w:sz w:val="22"/>
                <w:szCs w:val="22"/>
              </w:rPr>
            </w:pPr>
            <w:r w:rsidRPr="00D43831">
              <w:rPr>
                <w:rFonts w:ascii="Arial" w:hAnsi="Arial" w:cs="Arial"/>
                <w:bCs/>
                <w:sz w:val="22"/>
                <w:szCs w:val="22"/>
              </w:rPr>
              <w:t>d)  Provision for bad and doubtful debts</w:t>
            </w:r>
          </w:p>
        </w:tc>
        <w:tc>
          <w:tcPr>
            <w:tcW w:w="1746" w:type="dxa"/>
            <w:tcBorders>
              <w:top w:val="single" w:sz="8" w:space="0" w:color="auto"/>
              <w:left w:val="nil"/>
              <w:bottom w:val="single" w:sz="4" w:space="0" w:color="auto"/>
              <w:right w:val="single" w:sz="8" w:space="0" w:color="auto"/>
            </w:tcBorders>
            <w:shd w:val="clear" w:color="auto" w:fill="auto"/>
            <w:vAlign w:val="center"/>
            <w:hideMark/>
          </w:tcPr>
          <w:p w:rsidR="00B30285" w:rsidRPr="00D43831" w:rsidRDefault="00B30285" w:rsidP="00B30285">
            <w:pPr>
              <w:spacing w:line="360" w:lineRule="auto"/>
              <w:jc w:val="right"/>
              <w:rPr>
                <w:rFonts w:ascii="Arial" w:hAnsi="Arial" w:cs="Arial"/>
                <w:bCs/>
                <w:sz w:val="22"/>
                <w:szCs w:val="22"/>
              </w:rPr>
            </w:pPr>
            <w:r w:rsidRPr="00D43831">
              <w:rPr>
                <w:rFonts w:ascii="Arial" w:hAnsi="Arial" w:cs="Arial"/>
                <w:bCs/>
                <w:sz w:val="22"/>
                <w:szCs w:val="22"/>
              </w:rPr>
              <w:t xml:space="preserve">7031.33 </w:t>
            </w:r>
          </w:p>
        </w:tc>
      </w:tr>
      <w:tr w:rsidR="00B30285" w:rsidRPr="00D43831" w:rsidTr="00B30285">
        <w:trPr>
          <w:trHeight w:val="279"/>
          <w:tblHeader/>
        </w:trPr>
        <w:tc>
          <w:tcPr>
            <w:tcW w:w="54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B30285" w:rsidRPr="00D43831" w:rsidRDefault="00B30285" w:rsidP="00B30285">
            <w:pPr>
              <w:spacing w:line="360" w:lineRule="auto"/>
              <w:jc w:val="center"/>
              <w:rPr>
                <w:rFonts w:ascii="Arial" w:hAnsi="Arial" w:cs="Arial"/>
                <w:bCs/>
                <w:sz w:val="22"/>
                <w:szCs w:val="22"/>
              </w:rPr>
            </w:pPr>
            <w:r w:rsidRPr="00D43831">
              <w:rPr>
                <w:rFonts w:ascii="Arial" w:hAnsi="Arial" w:cs="Arial"/>
                <w:bCs/>
                <w:sz w:val="22"/>
                <w:szCs w:val="22"/>
              </w:rPr>
              <w:t> </w:t>
            </w:r>
          </w:p>
        </w:tc>
        <w:tc>
          <w:tcPr>
            <w:tcW w:w="5897" w:type="dxa"/>
            <w:tcBorders>
              <w:top w:val="single" w:sz="8" w:space="0" w:color="auto"/>
              <w:left w:val="nil"/>
              <w:bottom w:val="single" w:sz="4" w:space="0" w:color="auto"/>
              <w:right w:val="single" w:sz="4" w:space="0" w:color="auto"/>
            </w:tcBorders>
            <w:shd w:val="clear" w:color="auto" w:fill="auto"/>
            <w:vAlign w:val="center"/>
            <w:hideMark/>
          </w:tcPr>
          <w:p w:rsidR="00B30285" w:rsidRPr="00D43831" w:rsidRDefault="00B30285" w:rsidP="00B30285">
            <w:pPr>
              <w:spacing w:line="360" w:lineRule="auto"/>
              <w:rPr>
                <w:rFonts w:ascii="Arial" w:hAnsi="Arial" w:cs="Arial"/>
                <w:bCs/>
                <w:sz w:val="22"/>
                <w:szCs w:val="22"/>
              </w:rPr>
            </w:pPr>
            <w:r w:rsidRPr="00D43831">
              <w:rPr>
                <w:rFonts w:ascii="Arial" w:hAnsi="Arial" w:cs="Arial"/>
                <w:bCs/>
                <w:sz w:val="22"/>
                <w:szCs w:val="22"/>
              </w:rPr>
              <w:t>e)  Depreciation</w:t>
            </w:r>
          </w:p>
        </w:tc>
        <w:tc>
          <w:tcPr>
            <w:tcW w:w="1746" w:type="dxa"/>
            <w:tcBorders>
              <w:top w:val="single" w:sz="8" w:space="0" w:color="auto"/>
              <w:left w:val="nil"/>
              <w:bottom w:val="single" w:sz="4" w:space="0" w:color="auto"/>
              <w:right w:val="single" w:sz="8" w:space="0" w:color="auto"/>
            </w:tcBorders>
            <w:shd w:val="clear" w:color="auto" w:fill="auto"/>
            <w:vAlign w:val="center"/>
            <w:hideMark/>
          </w:tcPr>
          <w:p w:rsidR="00B30285" w:rsidRPr="00D43831" w:rsidRDefault="00B30285" w:rsidP="00B30285">
            <w:pPr>
              <w:spacing w:line="360" w:lineRule="auto"/>
              <w:jc w:val="right"/>
              <w:rPr>
                <w:rFonts w:ascii="Arial" w:hAnsi="Arial" w:cs="Arial"/>
                <w:bCs/>
                <w:sz w:val="22"/>
                <w:szCs w:val="22"/>
              </w:rPr>
            </w:pPr>
            <w:r w:rsidRPr="00D43831">
              <w:rPr>
                <w:rFonts w:ascii="Arial" w:hAnsi="Arial" w:cs="Arial"/>
                <w:bCs/>
                <w:sz w:val="22"/>
                <w:szCs w:val="22"/>
              </w:rPr>
              <w:t xml:space="preserve">1532.55 </w:t>
            </w:r>
          </w:p>
        </w:tc>
      </w:tr>
      <w:tr w:rsidR="00B30285" w:rsidRPr="00D43831" w:rsidTr="00B30285">
        <w:trPr>
          <w:trHeight w:val="279"/>
          <w:tblHeader/>
        </w:trPr>
        <w:tc>
          <w:tcPr>
            <w:tcW w:w="54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B30285" w:rsidRPr="00D43831" w:rsidRDefault="00B30285" w:rsidP="00B30285">
            <w:pPr>
              <w:spacing w:line="360" w:lineRule="auto"/>
              <w:jc w:val="center"/>
              <w:rPr>
                <w:rFonts w:ascii="Arial" w:hAnsi="Arial" w:cs="Arial"/>
                <w:bCs/>
                <w:sz w:val="22"/>
                <w:szCs w:val="22"/>
              </w:rPr>
            </w:pPr>
            <w:r w:rsidRPr="00D43831">
              <w:rPr>
                <w:rFonts w:ascii="Arial" w:hAnsi="Arial" w:cs="Arial"/>
                <w:bCs/>
                <w:sz w:val="22"/>
                <w:szCs w:val="22"/>
              </w:rPr>
              <w:t> </w:t>
            </w:r>
          </w:p>
        </w:tc>
        <w:tc>
          <w:tcPr>
            <w:tcW w:w="5897" w:type="dxa"/>
            <w:tcBorders>
              <w:top w:val="single" w:sz="8" w:space="0" w:color="auto"/>
              <w:left w:val="nil"/>
              <w:bottom w:val="single" w:sz="4" w:space="0" w:color="auto"/>
              <w:right w:val="single" w:sz="4" w:space="0" w:color="auto"/>
            </w:tcBorders>
            <w:shd w:val="clear" w:color="auto" w:fill="auto"/>
            <w:vAlign w:val="center"/>
            <w:hideMark/>
          </w:tcPr>
          <w:p w:rsidR="00B30285" w:rsidRPr="00D43831" w:rsidRDefault="00B30285" w:rsidP="00B30285">
            <w:pPr>
              <w:spacing w:line="360" w:lineRule="auto"/>
              <w:rPr>
                <w:rFonts w:ascii="Arial" w:hAnsi="Arial" w:cs="Arial"/>
                <w:bCs/>
                <w:sz w:val="22"/>
                <w:szCs w:val="22"/>
              </w:rPr>
            </w:pPr>
            <w:r w:rsidRPr="00D43831">
              <w:rPr>
                <w:rFonts w:ascii="Arial" w:hAnsi="Arial" w:cs="Arial"/>
                <w:bCs/>
                <w:sz w:val="22"/>
                <w:szCs w:val="22"/>
              </w:rPr>
              <w:t>f)  Other expenses including prior period income/charges</w:t>
            </w:r>
          </w:p>
        </w:tc>
        <w:tc>
          <w:tcPr>
            <w:tcW w:w="1746" w:type="dxa"/>
            <w:tcBorders>
              <w:top w:val="single" w:sz="8" w:space="0" w:color="auto"/>
              <w:left w:val="nil"/>
              <w:bottom w:val="single" w:sz="4" w:space="0" w:color="auto"/>
              <w:right w:val="single" w:sz="8" w:space="0" w:color="auto"/>
            </w:tcBorders>
            <w:shd w:val="clear" w:color="auto" w:fill="auto"/>
            <w:vAlign w:val="center"/>
            <w:hideMark/>
          </w:tcPr>
          <w:p w:rsidR="00B30285" w:rsidRPr="00D43831" w:rsidRDefault="00B30285" w:rsidP="00B30285">
            <w:pPr>
              <w:spacing w:line="360" w:lineRule="auto"/>
              <w:jc w:val="right"/>
              <w:rPr>
                <w:rFonts w:ascii="Arial" w:hAnsi="Arial" w:cs="Arial"/>
                <w:bCs/>
                <w:sz w:val="22"/>
                <w:szCs w:val="22"/>
              </w:rPr>
            </w:pPr>
            <w:r w:rsidRPr="00D43831">
              <w:rPr>
                <w:rFonts w:ascii="Arial" w:hAnsi="Arial" w:cs="Arial"/>
                <w:bCs/>
                <w:sz w:val="22"/>
                <w:szCs w:val="22"/>
              </w:rPr>
              <w:t>-</w:t>
            </w:r>
          </w:p>
        </w:tc>
      </w:tr>
      <w:tr w:rsidR="00B30285" w:rsidRPr="00D43831" w:rsidTr="00B30285">
        <w:trPr>
          <w:trHeight w:val="279"/>
          <w:tblHeader/>
        </w:trPr>
        <w:tc>
          <w:tcPr>
            <w:tcW w:w="54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B30285" w:rsidRPr="00D43831" w:rsidRDefault="00B30285" w:rsidP="00B30285">
            <w:pPr>
              <w:spacing w:line="360" w:lineRule="auto"/>
              <w:jc w:val="center"/>
              <w:rPr>
                <w:rFonts w:ascii="Arial" w:hAnsi="Arial" w:cs="Arial"/>
                <w:bCs/>
                <w:sz w:val="22"/>
                <w:szCs w:val="22"/>
              </w:rPr>
            </w:pPr>
            <w:r w:rsidRPr="00D43831">
              <w:rPr>
                <w:rFonts w:ascii="Arial" w:hAnsi="Arial" w:cs="Arial"/>
                <w:bCs/>
                <w:sz w:val="22"/>
                <w:szCs w:val="22"/>
              </w:rPr>
              <w:t> </w:t>
            </w:r>
          </w:p>
        </w:tc>
        <w:tc>
          <w:tcPr>
            <w:tcW w:w="5897" w:type="dxa"/>
            <w:tcBorders>
              <w:top w:val="single" w:sz="8" w:space="0" w:color="auto"/>
              <w:left w:val="nil"/>
              <w:bottom w:val="single" w:sz="4" w:space="0" w:color="auto"/>
              <w:right w:val="single" w:sz="4" w:space="0" w:color="auto"/>
            </w:tcBorders>
            <w:shd w:val="clear" w:color="auto" w:fill="auto"/>
            <w:vAlign w:val="center"/>
            <w:hideMark/>
          </w:tcPr>
          <w:p w:rsidR="00B30285" w:rsidRPr="00D43831" w:rsidRDefault="00B30285" w:rsidP="00B30285">
            <w:pPr>
              <w:spacing w:line="360" w:lineRule="auto"/>
              <w:rPr>
                <w:rFonts w:ascii="Arial" w:hAnsi="Arial" w:cs="Arial"/>
                <w:bCs/>
                <w:sz w:val="22"/>
                <w:szCs w:val="22"/>
              </w:rPr>
            </w:pPr>
            <w:r w:rsidRPr="00D43831">
              <w:rPr>
                <w:rFonts w:ascii="Arial" w:hAnsi="Arial" w:cs="Arial"/>
                <w:bCs/>
                <w:sz w:val="22"/>
                <w:szCs w:val="22"/>
              </w:rPr>
              <w:t>g)  Less expenses capitalized (Employee Costs, A&amp;G, R&amp;M)</w:t>
            </w:r>
          </w:p>
        </w:tc>
        <w:tc>
          <w:tcPr>
            <w:tcW w:w="1746" w:type="dxa"/>
            <w:tcBorders>
              <w:top w:val="single" w:sz="8" w:space="0" w:color="auto"/>
              <w:left w:val="nil"/>
              <w:bottom w:val="single" w:sz="4" w:space="0" w:color="auto"/>
              <w:right w:val="single" w:sz="8" w:space="0" w:color="auto"/>
            </w:tcBorders>
            <w:shd w:val="clear" w:color="auto" w:fill="auto"/>
            <w:vAlign w:val="center"/>
            <w:hideMark/>
          </w:tcPr>
          <w:p w:rsidR="00B30285" w:rsidRPr="00D43831" w:rsidRDefault="00B30285" w:rsidP="00B30285">
            <w:pPr>
              <w:spacing w:line="360" w:lineRule="auto"/>
              <w:jc w:val="right"/>
              <w:rPr>
                <w:rFonts w:ascii="Arial" w:hAnsi="Arial" w:cs="Arial"/>
                <w:bCs/>
                <w:sz w:val="22"/>
                <w:szCs w:val="22"/>
              </w:rPr>
            </w:pPr>
            <w:r w:rsidRPr="00D43831">
              <w:rPr>
                <w:rFonts w:ascii="Arial" w:hAnsi="Arial" w:cs="Arial"/>
                <w:bCs/>
                <w:sz w:val="22"/>
                <w:szCs w:val="22"/>
              </w:rPr>
              <w:t>142.14</w:t>
            </w:r>
          </w:p>
        </w:tc>
      </w:tr>
      <w:tr w:rsidR="00B30285" w:rsidRPr="00D43831" w:rsidTr="00B30285">
        <w:trPr>
          <w:trHeight w:val="279"/>
          <w:tblHeader/>
        </w:trPr>
        <w:tc>
          <w:tcPr>
            <w:tcW w:w="54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B30285" w:rsidRPr="00D43831" w:rsidRDefault="00B30285" w:rsidP="00B30285">
            <w:pPr>
              <w:spacing w:line="360" w:lineRule="auto"/>
              <w:jc w:val="center"/>
              <w:rPr>
                <w:rFonts w:ascii="Arial" w:hAnsi="Arial" w:cs="Arial"/>
                <w:bCs/>
                <w:sz w:val="22"/>
                <w:szCs w:val="22"/>
              </w:rPr>
            </w:pPr>
            <w:r w:rsidRPr="00D43831">
              <w:rPr>
                <w:rFonts w:ascii="Arial" w:hAnsi="Arial" w:cs="Arial"/>
                <w:bCs/>
                <w:sz w:val="22"/>
                <w:szCs w:val="22"/>
              </w:rPr>
              <w:t> </w:t>
            </w:r>
          </w:p>
        </w:tc>
        <w:tc>
          <w:tcPr>
            <w:tcW w:w="5897" w:type="dxa"/>
            <w:tcBorders>
              <w:top w:val="single" w:sz="8" w:space="0" w:color="auto"/>
              <w:left w:val="nil"/>
              <w:bottom w:val="single" w:sz="4" w:space="0" w:color="auto"/>
              <w:right w:val="single" w:sz="4" w:space="0" w:color="auto"/>
            </w:tcBorders>
            <w:shd w:val="clear" w:color="auto" w:fill="auto"/>
            <w:vAlign w:val="center"/>
            <w:hideMark/>
          </w:tcPr>
          <w:p w:rsidR="00B30285" w:rsidRPr="00D43831" w:rsidRDefault="00B30285" w:rsidP="00B30285">
            <w:pPr>
              <w:spacing w:line="360" w:lineRule="auto"/>
              <w:rPr>
                <w:rFonts w:ascii="Arial" w:hAnsi="Arial" w:cs="Arial"/>
                <w:bCs/>
                <w:sz w:val="22"/>
                <w:szCs w:val="22"/>
              </w:rPr>
            </w:pPr>
            <w:r w:rsidRPr="00D43831">
              <w:rPr>
                <w:rFonts w:ascii="Arial" w:hAnsi="Arial" w:cs="Arial"/>
                <w:bCs/>
                <w:sz w:val="22"/>
                <w:szCs w:val="22"/>
              </w:rPr>
              <w:t>h)  Interest and financial charges</w:t>
            </w:r>
          </w:p>
        </w:tc>
        <w:tc>
          <w:tcPr>
            <w:tcW w:w="1746" w:type="dxa"/>
            <w:tcBorders>
              <w:top w:val="single" w:sz="8" w:space="0" w:color="auto"/>
              <w:left w:val="nil"/>
              <w:bottom w:val="single" w:sz="4" w:space="0" w:color="auto"/>
              <w:right w:val="single" w:sz="8" w:space="0" w:color="auto"/>
            </w:tcBorders>
            <w:shd w:val="clear" w:color="auto" w:fill="auto"/>
            <w:vAlign w:val="center"/>
            <w:hideMark/>
          </w:tcPr>
          <w:p w:rsidR="00B30285" w:rsidRPr="00D43831" w:rsidRDefault="00B30285" w:rsidP="00B30285">
            <w:pPr>
              <w:spacing w:line="360" w:lineRule="auto"/>
              <w:jc w:val="right"/>
              <w:rPr>
                <w:rFonts w:ascii="Arial" w:hAnsi="Arial" w:cs="Arial"/>
                <w:bCs/>
                <w:sz w:val="22"/>
                <w:szCs w:val="22"/>
              </w:rPr>
            </w:pPr>
            <w:r w:rsidRPr="00D43831">
              <w:rPr>
                <w:rFonts w:ascii="Arial" w:hAnsi="Arial" w:cs="Arial"/>
                <w:bCs/>
                <w:sz w:val="22"/>
                <w:szCs w:val="22"/>
              </w:rPr>
              <w:t xml:space="preserve">5042.75 </w:t>
            </w:r>
          </w:p>
        </w:tc>
      </w:tr>
      <w:tr w:rsidR="00B30285" w:rsidRPr="00D43831" w:rsidTr="00B30285">
        <w:trPr>
          <w:trHeight w:val="279"/>
          <w:tblHeader/>
        </w:trPr>
        <w:tc>
          <w:tcPr>
            <w:tcW w:w="54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B30285" w:rsidRPr="00D43831" w:rsidRDefault="00B30285" w:rsidP="00B30285">
            <w:pPr>
              <w:spacing w:line="360" w:lineRule="auto"/>
              <w:jc w:val="center"/>
              <w:rPr>
                <w:rFonts w:ascii="Arial" w:hAnsi="Arial" w:cs="Arial"/>
                <w:bCs/>
                <w:sz w:val="22"/>
                <w:szCs w:val="22"/>
              </w:rPr>
            </w:pPr>
            <w:r w:rsidRPr="00D43831">
              <w:rPr>
                <w:rFonts w:ascii="Arial" w:hAnsi="Arial" w:cs="Arial"/>
                <w:bCs/>
                <w:sz w:val="22"/>
                <w:szCs w:val="22"/>
              </w:rPr>
              <w:t> </w:t>
            </w:r>
          </w:p>
        </w:tc>
        <w:tc>
          <w:tcPr>
            <w:tcW w:w="5897" w:type="dxa"/>
            <w:tcBorders>
              <w:top w:val="single" w:sz="8" w:space="0" w:color="auto"/>
              <w:left w:val="nil"/>
              <w:bottom w:val="single" w:sz="4" w:space="0" w:color="auto"/>
              <w:right w:val="single" w:sz="4" w:space="0" w:color="auto"/>
            </w:tcBorders>
            <w:shd w:val="clear" w:color="auto" w:fill="auto"/>
            <w:vAlign w:val="center"/>
            <w:hideMark/>
          </w:tcPr>
          <w:p w:rsidR="00B30285" w:rsidRPr="00D43831" w:rsidRDefault="00B30285" w:rsidP="00B30285">
            <w:pPr>
              <w:spacing w:line="360" w:lineRule="auto"/>
              <w:rPr>
                <w:rFonts w:ascii="Arial" w:hAnsi="Arial" w:cs="Arial"/>
                <w:bCs/>
                <w:sz w:val="22"/>
                <w:szCs w:val="22"/>
              </w:rPr>
            </w:pPr>
            <w:r w:rsidRPr="00D43831">
              <w:rPr>
                <w:rFonts w:ascii="Arial" w:hAnsi="Arial" w:cs="Arial"/>
                <w:bCs/>
                <w:sz w:val="22"/>
                <w:szCs w:val="22"/>
              </w:rPr>
              <w:t>i)  Less interest capitalized</w:t>
            </w:r>
          </w:p>
        </w:tc>
        <w:tc>
          <w:tcPr>
            <w:tcW w:w="1746" w:type="dxa"/>
            <w:tcBorders>
              <w:top w:val="single" w:sz="8" w:space="0" w:color="auto"/>
              <w:left w:val="nil"/>
              <w:bottom w:val="single" w:sz="4" w:space="0" w:color="auto"/>
              <w:right w:val="single" w:sz="8" w:space="0" w:color="auto"/>
            </w:tcBorders>
            <w:shd w:val="clear" w:color="auto" w:fill="auto"/>
            <w:vAlign w:val="center"/>
            <w:hideMark/>
          </w:tcPr>
          <w:p w:rsidR="00B30285" w:rsidRPr="00D43831" w:rsidRDefault="00B30285" w:rsidP="00B30285">
            <w:pPr>
              <w:spacing w:line="360" w:lineRule="auto"/>
              <w:jc w:val="right"/>
              <w:rPr>
                <w:rFonts w:ascii="Arial" w:hAnsi="Arial" w:cs="Arial"/>
                <w:bCs/>
                <w:sz w:val="22"/>
                <w:szCs w:val="22"/>
              </w:rPr>
            </w:pPr>
            <w:r w:rsidRPr="00D43831">
              <w:rPr>
                <w:rFonts w:ascii="Arial" w:hAnsi="Arial" w:cs="Arial"/>
                <w:bCs/>
                <w:sz w:val="22"/>
                <w:szCs w:val="22"/>
              </w:rPr>
              <w:t> </w:t>
            </w:r>
          </w:p>
        </w:tc>
      </w:tr>
      <w:tr w:rsidR="00B30285" w:rsidRPr="00D43831" w:rsidTr="00B30285">
        <w:trPr>
          <w:trHeight w:val="279"/>
          <w:tblHeader/>
        </w:trPr>
        <w:tc>
          <w:tcPr>
            <w:tcW w:w="54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B30285" w:rsidRPr="00D43831" w:rsidRDefault="00B30285" w:rsidP="00B30285">
            <w:pPr>
              <w:spacing w:line="360" w:lineRule="auto"/>
              <w:jc w:val="center"/>
              <w:rPr>
                <w:rFonts w:ascii="Arial" w:hAnsi="Arial" w:cs="Arial"/>
                <w:bCs/>
                <w:sz w:val="22"/>
                <w:szCs w:val="22"/>
              </w:rPr>
            </w:pPr>
            <w:r w:rsidRPr="00D43831">
              <w:rPr>
                <w:rFonts w:ascii="Arial" w:hAnsi="Arial" w:cs="Arial"/>
                <w:bCs/>
                <w:sz w:val="22"/>
                <w:szCs w:val="22"/>
              </w:rPr>
              <w:t>2A</w:t>
            </w:r>
          </w:p>
        </w:tc>
        <w:tc>
          <w:tcPr>
            <w:tcW w:w="5897" w:type="dxa"/>
            <w:tcBorders>
              <w:top w:val="single" w:sz="8" w:space="0" w:color="auto"/>
              <w:left w:val="nil"/>
              <w:bottom w:val="single" w:sz="4" w:space="0" w:color="auto"/>
              <w:right w:val="single" w:sz="4" w:space="0" w:color="auto"/>
            </w:tcBorders>
            <w:shd w:val="clear" w:color="auto" w:fill="auto"/>
            <w:vAlign w:val="center"/>
            <w:hideMark/>
          </w:tcPr>
          <w:p w:rsidR="00B30285" w:rsidRPr="00D43831" w:rsidRDefault="00B30285" w:rsidP="00B30285">
            <w:pPr>
              <w:spacing w:line="360" w:lineRule="auto"/>
              <w:rPr>
                <w:rFonts w:ascii="Arial" w:hAnsi="Arial" w:cs="Arial"/>
                <w:bCs/>
                <w:sz w:val="22"/>
                <w:szCs w:val="22"/>
              </w:rPr>
            </w:pPr>
            <w:r w:rsidRPr="00D43831">
              <w:rPr>
                <w:rFonts w:ascii="Arial" w:hAnsi="Arial" w:cs="Arial"/>
                <w:bCs/>
                <w:sz w:val="22"/>
                <w:szCs w:val="22"/>
              </w:rPr>
              <w:t>Total Expenses (a + b + c + d + e + f - g + h - i)</w:t>
            </w:r>
          </w:p>
        </w:tc>
        <w:tc>
          <w:tcPr>
            <w:tcW w:w="1746" w:type="dxa"/>
            <w:tcBorders>
              <w:top w:val="single" w:sz="8" w:space="0" w:color="auto"/>
              <w:left w:val="nil"/>
              <w:bottom w:val="single" w:sz="4" w:space="0" w:color="auto"/>
              <w:right w:val="single" w:sz="8" w:space="0" w:color="auto"/>
            </w:tcBorders>
            <w:shd w:val="clear" w:color="auto" w:fill="auto"/>
            <w:vAlign w:val="center"/>
            <w:hideMark/>
          </w:tcPr>
          <w:p w:rsidR="00B30285" w:rsidRPr="00D43831" w:rsidRDefault="00B30285" w:rsidP="00B30285">
            <w:pPr>
              <w:spacing w:line="360" w:lineRule="auto"/>
              <w:jc w:val="right"/>
              <w:rPr>
                <w:rFonts w:ascii="Arial" w:hAnsi="Arial" w:cs="Arial"/>
                <w:bCs/>
                <w:sz w:val="22"/>
                <w:szCs w:val="22"/>
              </w:rPr>
            </w:pPr>
            <w:r w:rsidRPr="00D43831">
              <w:rPr>
                <w:rFonts w:ascii="Arial" w:hAnsi="Arial" w:cs="Arial"/>
                <w:bCs/>
                <w:sz w:val="22"/>
                <w:szCs w:val="22"/>
              </w:rPr>
              <w:t xml:space="preserve">197232.07 </w:t>
            </w:r>
          </w:p>
        </w:tc>
      </w:tr>
      <w:tr w:rsidR="00B30285" w:rsidRPr="00D43831" w:rsidTr="00B30285">
        <w:trPr>
          <w:trHeight w:val="279"/>
          <w:tblHeader/>
        </w:trPr>
        <w:tc>
          <w:tcPr>
            <w:tcW w:w="54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B30285" w:rsidRPr="00D43831" w:rsidRDefault="00B30285" w:rsidP="00B30285">
            <w:pPr>
              <w:spacing w:line="360" w:lineRule="auto"/>
              <w:jc w:val="center"/>
              <w:rPr>
                <w:rFonts w:ascii="Arial" w:hAnsi="Arial" w:cs="Arial"/>
                <w:bCs/>
                <w:sz w:val="22"/>
                <w:szCs w:val="22"/>
              </w:rPr>
            </w:pPr>
            <w:r w:rsidRPr="00D43831">
              <w:rPr>
                <w:rFonts w:ascii="Arial" w:hAnsi="Arial" w:cs="Arial"/>
                <w:bCs/>
                <w:sz w:val="22"/>
                <w:szCs w:val="22"/>
              </w:rPr>
              <w:t>3</w:t>
            </w:r>
          </w:p>
        </w:tc>
        <w:tc>
          <w:tcPr>
            <w:tcW w:w="5897" w:type="dxa"/>
            <w:tcBorders>
              <w:top w:val="single" w:sz="8" w:space="0" w:color="auto"/>
              <w:left w:val="nil"/>
              <w:bottom w:val="single" w:sz="4" w:space="0" w:color="auto"/>
              <w:right w:val="single" w:sz="4" w:space="0" w:color="auto"/>
            </w:tcBorders>
            <w:shd w:val="clear" w:color="auto" w:fill="auto"/>
            <w:vAlign w:val="center"/>
            <w:hideMark/>
          </w:tcPr>
          <w:p w:rsidR="00B30285" w:rsidRPr="00D43831" w:rsidRDefault="00B30285" w:rsidP="00B30285">
            <w:pPr>
              <w:spacing w:line="360" w:lineRule="auto"/>
              <w:rPr>
                <w:rFonts w:ascii="Arial" w:hAnsi="Arial" w:cs="Arial"/>
                <w:bCs/>
                <w:sz w:val="22"/>
                <w:szCs w:val="22"/>
              </w:rPr>
            </w:pPr>
            <w:r w:rsidRPr="00D43831">
              <w:rPr>
                <w:rFonts w:ascii="Arial" w:hAnsi="Arial" w:cs="Arial"/>
                <w:bCs/>
                <w:sz w:val="22"/>
                <w:szCs w:val="22"/>
              </w:rPr>
              <w:t>Special Appropriation</w:t>
            </w:r>
          </w:p>
        </w:tc>
        <w:tc>
          <w:tcPr>
            <w:tcW w:w="1746" w:type="dxa"/>
            <w:tcBorders>
              <w:top w:val="single" w:sz="8" w:space="0" w:color="auto"/>
              <w:left w:val="nil"/>
              <w:bottom w:val="single" w:sz="4" w:space="0" w:color="auto"/>
              <w:right w:val="single" w:sz="8" w:space="0" w:color="auto"/>
            </w:tcBorders>
            <w:shd w:val="clear" w:color="auto" w:fill="auto"/>
            <w:vAlign w:val="center"/>
            <w:hideMark/>
          </w:tcPr>
          <w:p w:rsidR="00B30285" w:rsidRPr="00D43831" w:rsidRDefault="00B30285" w:rsidP="00B30285">
            <w:pPr>
              <w:spacing w:line="360" w:lineRule="auto"/>
              <w:jc w:val="right"/>
              <w:rPr>
                <w:rFonts w:ascii="Arial" w:hAnsi="Arial" w:cs="Arial"/>
                <w:bCs/>
                <w:sz w:val="22"/>
                <w:szCs w:val="22"/>
              </w:rPr>
            </w:pPr>
            <w:r w:rsidRPr="00D43831">
              <w:rPr>
                <w:rFonts w:ascii="Arial" w:hAnsi="Arial" w:cs="Arial"/>
                <w:bCs/>
                <w:sz w:val="22"/>
                <w:szCs w:val="22"/>
              </w:rPr>
              <w:t xml:space="preserve">352.13 </w:t>
            </w:r>
          </w:p>
        </w:tc>
      </w:tr>
      <w:tr w:rsidR="00B30285" w:rsidRPr="00D43831" w:rsidTr="00B30285">
        <w:trPr>
          <w:trHeight w:val="279"/>
          <w:tblHeader/>
        </w:trPr>
        <w:tc>
          <w:tcPr>
            <w:tcW w:w="54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B30285" w:rsidRPr="00D43831" w:rsidRDefault="00B30285" w:rsidP="00B30285">
            <w:pPr>
              <w:spacing w:line="360" w:lineRule="auto"/>
              <w:jc w:val="center"/>
              <w:rPr>
                <w:rFonts w:ascii="Arial" w:hAnsi="Arial" w:cs="Arial"/>
                <w:bCs/>
                <w:sz w:val="22"/>
                <w:szCs w:val="22"/>
              </w:rPr>
            </w:pPr>
            <w:r w:rsidRPr="00D43831">
              <w:rPr>
                <w:rFonts w:ascii="Arial" w:hAnsi="Arial" w:cs="Arial"/>
                <w:bCs/>
                <w:sz w:val="22"/>
                <w:szCs w:val="22"/>
              </w:rPr>
              <w:t>4</w:t>
            </w:r>
          </w:p>
        </w:tc>
        <w:tc>
          <w:tcPr>
            <w:tcW w:w="5897" w:type="dxa"/>
            <w:tcBorders>
              <w:top w:val="single" w:sz="8" w:space="0" w:color="auto"/>
              <w:left w:val="nil"/>
              <w:bottom w:val="single" w:sz="4" w:space="0" w:color="auto"/>
              <w:right w:val="single" w:sz="4" w:space="0" w:color="auto"/>
            </w:tcBorders>
            <w:shd w:val="clear" w:color="auto" w:fill="auto"/>
            <w:vAlign w:val="center"/>
            <w:hideMark/>
          </w:tcPr>
          <w:p w:rsidR="00B30285" w:rsidRPr="00D43831" w:rsidRDefault="00B30285" w:rsidP="00B30285">
            <w:pPr>
              <w:spacing w:line="360" w:lineRule="auto"/>
              <w:rPr>
                <w:rFonts w:ascii="Arial" w:hAnsi="Arial" w:cs="Arial"/>
                <w:bCs/>
                <w:sz w:val="22"/>
                <w:szCs w:val="22"/>
              </w:rPr>
            </w:pPr>
            <w:r w:rsidRPr="00D43831">
              <w:rPr>
                <w:rFonts w:ascii="Arial" w:hAnsi="Arial" w:cs="Arial"/>
                <w:bCs/>
                <w:sz w:val="22"/>
                <w:szCs w:val="22"/>
              </w:rPr>
              <w:t>Return on equity</w:t>
            </w:r>
          </w:p>
        </w:tc>
        <w:tc>
          <w:tcPr>
            <w:tcW w:w="1746" w:type="dxa"/>
            <w:tcBorders>
              <w:top w:val="single" w:sz="8" w:space="0" w:color="auto"/>
              <w:left w:val="nil"/>
              <w:bottom w:val="single" w:sz="4" w:space="0" w:color="auto"/>
              <w:right w:val="single" w:sz="8" w:space="0" w:color="auto"/>
            </w:tcBorders>
            <w:shd w:val="clear" w:color="auto" w:fill="auto"/>
            <w:vAlign w:val="center"/>
            <w:hideMark/>
          </w:tcPr>
          <w:p w:rsidR="00B30285" w:rsidRPr="00D43831" w:rsidRDefault="00B30285" w:rsidP="00B30285">
            <w:pPr>
              <w:spacing w:line="360" w:lineRule="auto"/>
              <w:jc w:val="right"/>
              <w:rPr>
                <w:rFonts w:ascii="Arial" w:hAnsi="Arial" w:cs="Arial"/>
                <w:bCs/>
                <w:sz w:val="22"/>
                <w:szCs w:val="22"/>
              </w:rPr>
            </w:pPr>
            <w:r w:rsidRPr="00D43831">
              <w:rPr>
                <w:rFonts w:ascii="Arial" w:hAnsi="Arial" w:cs="Arial"/>
                <w:bCs/>
                <w:sz w:val="22"/>
                <w:szCs w:val="22"/>
              </w:rPr>
              <w:t xml:space="preserve">1054.56 </w:t>
            </w:r>
          </w:p>
        </w:tc>
      </w:tr>
      <w:tr w:rsidR="00B30285" w:rsidRPr="00D43831" w:rsidTr="00B30285">
        <w:trPr>
          <w:trHeight w:val="279"/>
          <w:tblHeader/>
        </w:trPr>
        <w:tc>
          <w:tcPr>
            <w:tcW w:w="54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B30285" w:rsidRPr="00D43831" w:rsidRDefault="00B30285" w:rsidP="00B30285">
            <w:pPr>
              <w:spacing w:line="360" w:lineRule="auto"/>
              <w:jc w:val="center"/>
              <w:rPr>
                <w:rFonts w:ascii="Arial" w:hAnsi="Arial" w:cs="Arial"/>
                <w:bCs/>
                <w:sz w:val="22"/>
                <w:szCs w:val="22"/>
              </w:rPr>
            </w:pPr>
            <w:r w:rsidRPr="00D43831">
              <w:rPr>
                <w:rFonts w:ascii="Arial" w:hAnsi="Arial" w:cs="Arial"/>
                <w:bCs/>
                <w:sz w:val="22"/>
                <w:szCs w:val="22"/>
              </w:rPr>
              <w:t>5</w:t>
            </w:r>
          </w:p>
        </w:tc>
        <w:tc>
          <w:tcPr>
            <w:tcW w:w="5897" w:type="dxa"/>
            <w:tcBorders>
              <w:top w:val="single" w:sz="8" w:space="0" w:color="auto"/>
              <w:left w:val="nil"/>
              <w:bottom w:val="single" w:sz="4" w:space="0" w:color="auto"/>
              <w:right w:val="single" w:sz="4" w:space="0" w:color="auto"/>
            </w:tcBorders>
            <w:shd w:val="clear" w:color="auto" w:fill="auto"/>
            <w:vAlign w:val="center"/>
            <w:hideMark/>
          </w:tcPr>
          <w:p w:rsidR="00B30285" w:rsidRPr="00D43831" w:rsidRDefault="00B30285" w:rsidP="00B30285">
            <w:pPr>
              <w:spacing w:line="360" w:lineRule="auto"/>
              <w:rPr>
                <w:rFonts w:ascii="Arial" w:hAnsi="Arial" w:cs="Arial"/>
                <w:bCs/>
                <w:sz w:val="22"/>
                <w:szCs w:val="22"/>
              </w:rPr>
            </w:pPr>
            <w:r w:rsidRPr="00D43831">
              <w:rPr>
                <w:rFonts w:ascii="Arial" w:hAnsi="Arial" w:cs="Arial"/>
                <w:bCs/>
                <w:sz w:val="22"/>
                <w:szCs w:val="22"/>
              </w:rPr>
              <w:t>TOTAL ( 1 + 2A + 3 + 4)</w:t>
            </w:r>
          </w:p>
        </w:tc>
        <w:tc>
          <w:tcPr>
            <w:tcW w:w="1746" w:type="dxa"/>
            <w:tcBorders>
              <w:top w:val="single" w:sz="8" w:space="0" w:color="auto"/>
              <w:left w:val="nil"/>
              <w:bottom w:val="single" w:sz="4" w:space="0" w:color="auto"/>
              <w:right w:val="single" w:sz="8" w:space="0" w:color="auto"/>
            </w:tcBorders>
            <w:shd w:val="clear" w:color="auto" w:fill="auto"/>
            <w:vAlign w:val="center"/>
            <w:hideMark/>
          </w:tcPr>
          <w:p w:rsidR="00B30285" w:rsidRPr="00D43831" w:rsidRDefault="00B30285" w:rsidP="00B30285">
            <w:pPr>
              <w:spacing w:line="360" w:lineRule="auto"/>
              <w:jc w:val="right"/>
              <w:rPr>
                <w:rFonts w:ascii="Arial" w:hAnsi="Arial" w:cs="Arial"/>
                <w:bCs/>
                <w:sz w:val="22"/>
                <w:szCs w:val="22"/>
              </w:rPr>
            </w:pPr>
            <w:r w:rsidRPr="00D43831">
              <w:rPr>
                <w:rFonts w:ascii="Arial" w:hAnsi="Arial" w:cs="Arial"/>
                <w:bCs/>
                <w:sz w:val="22"/>
                <w:szCs w:val="22"/>
              </w:rPr>
              <w:t xml:space="preserve">198638.76 </w:t>
            </w:r>
          </w:p>
        </w:tc>
      </w:tr>
      <w:tr w:rsidR="00B30285" w:rsidRPr="00D43831" w:rsidTr="00B30285">
        <w:trPr>
          <w:trHeight w:val="279"/>
          <w:tblHeader/>
        </w:trPr>
        <w:tc>
          <w:tcPr>
            <w:tcW w:w="54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B30285" w:rsidRPr="00D43831" w:rsidRDefault="00B30285" w:rsidP="00B30285">
            <w:pPr>
              <w:spacing w:line="360" w:lineRule="auto"/>
              <w:jc w:val="center"/>
              <w:rPr>
                <w:rFonts w:ascii="Arial" w:hAnsi="Arial" w:cs="Arial"/>
                <w:bCs/>
                <w:sz w:val="22"/>
                <w:szCs w:val="22"/>
              </w:rPr>
            </w:pPr>
            <w:r w:rsidRPr="00D43831">
              <w:rPr>
                <w:rFonts w:ascii="Arial" w:hAnsi="Arial" w:cs="Arial"/>
                <w:bCs/>
                <w:sz w:val="22"/>
                <w:szCs w:val="22"/>
              </w:rPr>
              <w:t>6</w:t>
            </w:r>
          </w:p>
        </w:tc>
        <w:tc>
          <w:tcPr>
            <w:tcW w:w="5897" w:type="dxa"/>
            <w:tcBorders>
              <w:top w:val="single" w:sz="8" w:space="0" w:color="auto"/>
              <w:left w:val="nil"/>
              <w:bottom w:val="single" w:sz="4" w:space="0" w:color="auto"/>
              <w:right w:val="single" w:sz="4" w:space="0" w:color="auto"/>
            </w:tcBorders>
            <w:shd w:val="clear" w:color="auto" w:fill="auto"/>
            <w:vAlign w:val="center"/>
            <w:hideMark/>
          </w:tcPr>
          <w:p w:rsidR="00B30285" w:rsidRPr="00D43831" w:rsidRDefault="00B30285" w:rsidP="00B30285">
            <w:pPr>
              <w:spacing w:line="360" w:lineRule="auto"/>
              <w:rPr>
                <w:rFonts w:ascii="Arial" w:hAnsi="Arial" w:cs="Arial"/>
                <w:bCs/>
                <w:sz w:val="22"/>
                <w:szCs w:val="22"/>
              </w:rPr>
            </w:pPr>
            <w:r w:rsidRPr="00D43831">
              <w:rPr>
                <w:rFonts w:ascii="Arial" w:hAnsi="Arial" w:cs="Arial"/>
                <w:bCs/>
                <w:sz w:val="22"/>
                <w:szCs w:val="22"/>
              </w:rPr>
              <w:t>Less Miscellaneous receipts</w:t>
            </w:r>
          </w:p>
        </w:tc>
        <w:tc>
          <w:tcPr>
            <w:tcW w:w="1746" w:type="dxa"/>
            <w:tcBorders>
              <w:top w:val="single" w:sz="8" w:space="0" w:color="auto"/>
              <w:left w:val="nil"/>
              <w:bottom w:val="single" w:sz="4" w:space="0" w:color="auto"/>
              <w:right w:val="single" w:sz="8" w:space="0" w:color="auto"/>
            </w:tcBorders>
            <w:shd w:val="clear" w:color="auto" w:fill="auto"/>
            <w:vAlign w:val="center"/>
            <w:hideMark/>
          </w:tcPr>
          <w:p w:rsidR="00B30285" w:rsidRPr="00D43831" w:rsidRDefault="00B30285" w:rsidP="00B30285">
            <w:pPr>
              <w:spacing w:line="360" w:lineRule="auto"/>
              <w:jc w:val="right"/>
              <w:rPr>
                <w:rFonts w:ascii="Arial" w:hAnsi="Arial" w:cs="Arial"/>
                <w:bCs/>
                <w:sz w:val="22"/>
                <w:szCs w:val="22"/>
              </w:rPr>
            </w:pPr>
            <w:r w:rsidRPr="00D43831">
              <w:rPr>
                <w:rFonts w:ascii="Arial" w:hAnsi="Arial" w:cs="Arial"/>
                <w:bCs/>
                <w:sz w:val="22"/>
                <w:szCs w:val="22"/>
              </w:rPr>
              <w:t xml:space="preserve">15282.48 </w:t>
            </w:r>
          </w:p>
        </w:tc>
      </w:tr>
      <w:tr w:rsidR="00B30285" w:rsidRPr="00D43831" w:rsidTr="00B30285">
        <w:trPr>
          <w:trHeight w:val="279"/>
          <w:tblHeader/>
        </w:trPr>
        <w:tc>
          <w:tcPr>
            <w:tcW w:w="54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B30285" w:rsidRPr="00D43831" w:rsidRDefault="00B30285" w:rsidP="00B30285">
            <w:pPr>
              <w:spacing w:line="360" w:lineRule="auto"/>
              <w:jc w:val="center"/>
              <w:rPr>
                <w:rFonts w:ascii="Arial" w:hAnsi="Arial" w:cs="Arial"/>
                <w:bCs/>
                <w:sz w:val="22"/>
                <w:szCs w:val="22"/>
              </w:rPr>
            </w:pPr>
            <w:r w:rsidRPr="00D43831">
              <w:rPr>
                <w:rFonts w:ascii="Arial" w:hAnsi="Arial" w:cs="Arial"/>
                <w:bCs/>
                <w:sz w:val="22"/>
                <w:szCs w:val="22"/>
              </w:rPr>
              <w:t>8</w:t>
            </w:r>
          </w:p>
        </w:tc>
        <w:tc>
          <w:tcPr>
            <w:tcW w:w="5897" w:type="dxa"/>
            <w:tcBorders>
              <w:top w:val="single" w:sz="8" w:space="0" w:color="auto"/>
              <w:left w:val="nil"/>
              <w:bottom w:val="single" w:sz="4" w:space="0" w:color="auto"/>
              <w:right w:val="single" w:sz="4" w:space="0" w:color="auto"/>
            </w:tcBorders>
            <w:shd w:val="clear" w:color="auto" w:fill="auto"/>
            <w:vAlign w:val="center"/>
            <w:hideMark/>
          </w:tcPr>
          <w:p w:rsidR="00B30285" w:rsidRPr="00D43831" w:rsidRDefault="00B30285" w:rsidP="00B30285">
            <w:pPr>
              <w:spacing w:line="360" w:lineRule="auto"/>
              <w:rPr>
                <w:rFonts w:ascii="Arial" w:hAnsi="Arial" w:cs="Arial"/>
                <w:bCs/>
                <w:sz w:val="22"/>
                <w:szCs w:val="22"/>
              </w:rPr>
            </w:pPr>
            <w:r w:rsidRPr="00D43831">
              <w:rPr>
                <w:rFonts w:ascii="Arial" w:hAnsi="Arial" w:cs="Arial"/>
                <w:bCs/>
                <w:sz w:val="22"/>
                <w:szCs w:val="22"/>
              </w:rPr>
              <w:t>Total Revenue Requirement (5 - 6)</w:t>
            </w:r>
          </w:p>
        </w:tc>
        <w:tc>
          <w:tcPr>
            <w:tcW w:w="1746" w:type="dxa"/>
            <w:tcBorders>
              <w:top w:val="single" w:sz="8" w:space="0" w:color="auto"/>
              <w:left w:val="nil"/>
              <w:bottom w:val="single" w:sz="4" w:space="0" w:color="auto"/>
              <w:right w:val="single" w:sz="8" w:space="0" w:color="auto"/>
            </w:tcBorders>
            <w:shd w:val="clear" w:color="auto" w:fill="auto"/>
            <w:vAlign w:val="center"/>
            <w:hideMark/>
          </w:tcPr>
          <w:p w:rsidR="00B30285" w:rsidRPr="00D43831" w:rsidRDefault="00B30285" w:rsidP="00B30285">
            <w:pPr>
              <w:spacing w:line="360" w:lineRule="auto"/>
              <w:jc w:val="right"/>
              <w:rPr>
                <w:rFonts w:ascii="Arial" w:hAnsi="Arial" w:cs="Arial"/>
                <w:bCs/>
                <w:sz w:val="22"/>
                <w:szCs w:val="22"/>
              </w:rPr>
            </w:pPr>
            <w:r w:rsidRPr="00D43831">
              <w:rPr>
                <w:rFonts w:ascii="Arial" w:hAnsi="Arial" w:cs="Arial"/>
                <w:bCs/>
                <w:sz w:val="22"/>
                <w:szCs w:val="22"/>
              </w:rPr>
              <w:t xml:space="preserve">183356.28 </w:t>
            </w:r>
          </w:p>
        </w:tc>
      </w:tr>
      <w:tr w:rsidR="00B30285" w:rsidRPr="00D43831" w:rsidTr="00B30285">
        <w:trPr>
          <w:trHeight w:val="279"/>
          <w:tblHeader/>
        </w:trPr>
        <w:tc>
          <w:tcPr>
            <w:tcW w:w="54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B30285" w:rsidRPr="00D43831" w:rsidRDefault="00B30285" w:rsidP="00B30285">
            <w:pPr>
              <w:spacing w:line="360" w:lineRule="auto"/>
              <w:jc w:val="center"/>
              <w:rPr>
                <w:rFonts w:ascii="Arial" w:hAnsi="Arial" w:cs="Arial"/>
                <w:bCs/>
                <w:sz w:val="22"/>
                <w:szCs w:val="22"/>
              </w:rPr>
            </w:pPr>
            <w:r w:rsidRPr="00D43831">
              <w:rPr>
                <w:rFonts w:ascii="Arial" w:hAnsi="Arial" w:cs="Arial"/>
                <w:bCs/>
                <w:sz w:val="22"/>
                <w:szCs w:val="22"/>
              </w:rPr>
              <w:t>9</w:t>
            </w:r>
          </w:p>
        </w:tc>
        <w:tc>
          <w:tcPr>
            <w:tcW w:w="5897" w:type="dxa"/>
            <w:tcBorders>
              <w:top w:val="single" w:sz="8" w:space="0" w:color="auto"/>
              <w:left w:val="nil"/>
              <w:bottom w:val="single" w:sz="4" w:space="0" w:color="auto"/>
              <w:right w:val="single" w:sz="4" w:space="0" w:color="auto"/>
            </w:tcBorders>
            <w:shd w:val="clear" w:color="auto" w:fill="auto"/>
            <w:vAlign w:val="center"/>
            <w:hideMark/>
          </w:tcPr>
          <w:p w:rsidR="00B30285" w:rsidRPr="00D43831" w:rsidRDefault="00B30285" w:rsidP="00B30285">
            <w:pPr>
              <w:spacing w:line="360" w:lineRule="auto"/>
              <w:rPr>
                <w:rFonts w:ascii="Arial" w:hAnsi="Arial" w:cs="Arial"/>
                <w:bCs/>
                <w:sz w:val="22"/>
                <w:szCs w:val="22"/>
              </w:rPr>
            </w:pPr>
            <w:r w:rsidRPr="00D43831">
              <w:rPr>
                <w:rFonts w:ascii="Arial" w:hAnsi="Arial" w:cs="Arial"/>
                <w:bCs/>
                <w:sz w:val="22"/>
                <w:szCs w:val="22"/>
              </w:rPr>
              <w:t>Revenue from tariffs (full year)</w:t>
            </w:r>
          </w:p>
        </w:tc>
        <w:tc>
          <w:tcPr>
            <w:tcW w:w="1746" w:type="dxa"/>
            <w:tcBorders>
              <w:top w:val="single" w:sz="8" w:space="0" w:color="auto"/>
              <w:left w:val="nil"/>
              <w:bottom w:val="single" w:sz="4" w:space="0" w:color="auto"/>
              <w:right w:val="single" w:sz="8" w:space="0" w:color="auto"/>
            </w:tcBorders>
            <w:shd w:val="clear" w:color="auto" w:fill="auto"/>
            <w:vAlign w:val="center"/>
            <w:hideMark/>
          </w:tcPr>
          <w:p w:rsidR="00B30285" w:rsidRPr="00D43831" w:rsidRDefault="00B30285" w:rsidP="00B30285">
            <w:pPr>
              <w:spacing w:line="360" w:lineRule="auto"/>
              <w:jc w:val="right"/>
              <w:rPr>
                <w:rFonts w:ascii="Arial" w:hAnsi="Arial" w:cs="Arial"/>
                <w:bCs/>
                <w:sz w:val="22"/>
                <w:szCs w:val="22"/>
              </w:rPr>
            </w:pPr>
            <w:r w:rsidRPr="00D43831">
              <w:rPr>
                <w:rFonts w:ascii="Arial" w:hAnsi="Arial" w:cs="Arial"/>
                <w:bCs/>
                <w:sz w:val="22"/>
                <w:szCs w:val="22"/>
              </w:rPr>
              <w:t xml:space="preserve">177405.27 </w:t>
            </w:r>
          </w:p>
        </w:tc>
      </w:tr>
      <w:tr w:rsidR="00B30285" w:rsidRPr="00D43831" w:rsidTr="00B30285">
        <w:trPr>
          <w:trHeight w:val="279"/>
          <w:tblHeader/>
        </w:trPr>
        <w:tc>
          <w:tcPr>
            <w:tcW w:w="54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B30285" w:rsidRPr="00D43831" w:rsidRDefault="00B30285" w:rsidP="00B30285">
            <w:pPr>
              <w:spacing w:line="360" w:lineRule="auto"/>
              <w:jc w:val="center"/>
              <w:rPr>
                <w:rFonts w:ascii="Arial" w:hAnsi="Arial" w:cs="Arial"/>
                <w:bCs/>
                <w:sz w:val="22"/>
                <w:szCs w:val="22"/>
              </w:rPr>
            </w:pPr>
            <w:r w:rsidRPr="00D43831">
              <w:rPr>
                <w:rFonts w:ascii="Arial" w:hAnsi="Arial" w:cs="Arial"/>
                <w:bCs/>
                <w:sz w:val="22"/>
                <w:szCs w:val="22"/>
              </w:rPr>
              <w:t>10</w:t>
            </w:r>
          </w:p>
        </w:tc>
        <w:tc>
          <w:tcPr>
            <w:tcW w:w="5897" w:type="dxa"/>
            <w:tcBorders>
              <w:top w:val="single" w:sz="8" w:space="0" w:color="auto"/>
              <w:left w:val="nil"/>
              <w:bottom w:val="single" w:sz="4" w:space="0" w:color="auto"/>
              <w:right w:val="single" w:sz="4" w:space="0" w:color="auto"/>
            </w:tcBorders>
            <w:shd w:val="clear" w:color="auto" w:fill="auto"/>
            <w:vAlign w:val="center"/>
            <w:hideMark/>
          </w:tcPr>
          <w:p w:rsidR="00B30285" w:rsidRPr="00D43831" w:rsidRDefault="00B30285" w:rsidP="00B30285">
            <w:pPr>
              <w:spacing w:line="360" w:lineRule="auto"/>
              <w:rPr>
                <w:rFonts w:ascii="Arial" w:hAnsi="Arial" w:cs="Arial"/>
                <w:bCs/>
                <w:sz w:val="22"/>
                <w:szCs w:val="22"/>
              </w:rPr>
            </w:pPr>
            <w:r w:rsidRPr="00D43831">
              <w:rPr>
                <w:rFonts w:ascii="Arial" w:hAnsi="Arial" w:cs="Arial"/>
                <w:bCs/>
                <w:sz w:val="22"/>
                <w:szCs w:val="22"/>
              </w:rPr>
              <w:t>(Gap) / surplus for the year</w:t>
            </w:r>
          </w:p>
        </w:tc>
        <w:tc>
          <w:tcPr>
            <w:tcW w:w="1746" w:type="dxa"/>
            <w:tcBorders>
              <w:top w:val="single" w:sz="8" w:space="0" w:color="auto"/>
              <w:left w:val="nil"/>
              <w:bottom w:val="single" w:sz="4" w:space="0" w:color="auto"/>
              <w:right w:val="single" w:sz="8" w:space="0" w:color="auto"/>
            </w:tcBorders>
            <w:shd w:val="clear" w:color="auto" w:fill="auto"/>
            <w:vAlign w:val="center"/>
            <w:hideMark/>
          </w:tcPr>
          <w:p w:rsidR="00B30285" w:rsidRPr="00D43831" w:rsidRDefault="00B30285" w:rsidP="00B30285">
            <w:pPr>
              <w:spacing w:line="360" w:lineRule="auto"/>
              <w:jc w:val="right"/>
              <w:rPr>
                <w:rFonts w:ascii="Arial" w:hAnsi="Arial" w:cs="Arial"/>
                <w:b/>
                <w:bCs/>
                <w:sz w:val="22"/>
                <w:szCs w:val="22"/>
              </w:rPr>
            </w:pPr>
            <w:r w:rsidRPr="00D43831">
              <w:rPr>
                <w:rFonts w:ascii="Arial" w:hAnsi="Arial" w:cs="Arial"/>
                <w:b/>
                <w:bCs/>
                <w:sz w:val="22"/>
                <w:szCs w:val="22"/>
              </w:rPr>
              <w:t>(5951.01)</w:t>
            </w:r>
          </w:p>
        </w:tc>
      </w:tr>
    </w:tbl>
    <w:p w:rsidR="004276A0" w:rsidRPr="00D43831" w:rsidRDefault="004276A0" w:rsidP="004276A0">
      <w:pPr>
        <w:spacing w:line="360" w:lineRule="auto"/>
        <w:rPr>
          <w:rFonts w:ascii="Arial" w:hAnsi="Arial" w:cs="Arial"/>
          <w:sz w:val="22"/>
          <w:szCs w:val="22"/>
          <w:highlight w:val="yellow"/>
        </w:rPr>
      </w:pPr>
    </w:p>
    <w:p w:rsidR="004276A0" w:rsidRPr="00BF0E9D" w:rsidRDefault="004276A0" w:rsidP="004276A0">
      <w:pPr>
        <w:spacing w:line="360" w:lineRule="auto"/>
        <w:jc w:val="both"/>
        <w:rPr>
          <w:rFonts w:ascii="Cambria" w:hAnsi="Cambria"/>
          <w:b/>
          <w:i/>
        </w:rPr>
      </w:pPr>
      <w:r w:rsidRPr="00D43831">
        <w:rPr>
          <w:rFonts w:ascii="Arial" w:hAnsi="Arial" w:cs="Arial"/>
          <w:sz w:val="22"/>
          <w:szCs w:val="22"/>
        </w:rPr>
        <w:t>The major reasons attribute towards the GA</w:t>
      </w:r>
      <w:r w:rsidR="00904FBD">
        <w:rPr>
          <w:rFonts w:ascii="Arial" w:hAnsi="Arial" w:cs="Arial"/>
          <w:sz w:val="22"/>
          <w:szCs w:val="22"/>
        </w:rPr>
        <w:t>P for the FY 2013-14 is the non-</w:t>
      </w:r>
      <w:r w:rsidRPr="00D43831">
        <w:rPr>
          <w:rFonts w:ascii="Arial" w:hAnsi="Arial" w:cs="Arial"/>
          <w:sz w:val="22"/>
          <w:szCs w:val="22"/>
        </w:rPr>
        <w:t>materialization of notional LT sales assumed by the Hon’ble Commission in the approved ARR</w:t>
      </w:r>
    </w:p>
    <w:p w:rsidR="004276A0" w:rsidRPr="00D43831" w:rsidRDefault="004276A0" w:rsidP="00CF66A5">
      <w:pPr>
        <w:pStyle w:val="Heading1"/>
        <w:numPr>
          <w:ilvl w:val="1"/>
          <w:numId w:val="48"/>
        </w:numPr>
        <w:spacing w:line="360" w:lineRule="auto"/>
        <w:ind w:left="1440"/>
        <w:jc w:val="both"/>
        <w:rPr>
          <w:sz w:val="22"/>
          <w:szCs w:val="22"/>
        </w:rPr>
      </w:pPr>
      <w:bookmarkStart w:id="58" w:name="_Toc404940181"/>
      <w:r w:rsidRPr="00D43831">
        <w:rPr>
          <w:sz w:val="22"/>
          <w:szCs w:val="22"/>
        </w:rPr>
        <w:t>TRUING UP FOR FY 2014-15</w:t>
      </w:r>
      <w:bookmarkEnd w:id="58"/>
    </w:p>
    <w:p w:rsidR="004276A0" w:rsidRPr="00D43831" w:rsidRDefault="004276A0" w:rsidP="004276A0">
      <w:pPr>
        <w:spacing w:line="360" w:lineRule="auto"/>
        <w:jc w:val="both"/>
        <w:rPr>
          <w:rFonts w:ascii="Arial" w:hAnsi="Arial" w:cs="Arial"/>
          <w:sz w:val="22"/>
          <w:szCs w:val="22"/>
        </w:rPr>
      </w:pPr>
      <w:r w:rsidRPr="00D43831">
        <w:rPr>
          <w:rFonts w:ascii="Arial" w:hAnsi="Arial" w:cs="Arial"/>
          <w:bCs/>
          <w:kern w:val="32"/>
          <w:sz w:val="22"/>
          <w:szCs w:val="22"/>
        </w:rPr>
        <w:t>Further based on th</w:t>
      </w:r>
      <w:r w:rsidRPr="00D43831">
        <w:rPr>
          <w:rFonts w:ascii="Arial" w:hAnsi="Arial" w:cs="Arial"/>
          <w:sz w:val="22"/>
          <w:szCs w:val="22"/>
        </w:rPr>
        <w:t>eact</w:t>
      </w:r>
      <w:r w:rsidRPr="00D43831">
        <w:rPr>
          <w:rFonts w:ascii="Arial" w:hAnsi="Arial" w:cs="Arial"/>
          <w:bCs/>
          <w:kern w:val="32"/>
          <w:sz w:val="22"/>
          <w:szCs w:val="22"/>
        </w:rPr>
        <w:t>ual</w:t>
      </w:r>
      <w:r w:rsidRPr="00D43831">
        <w:rPr>
          <w:rFonts w:ascii="Arial" w:hAnsi="Arial" w:cs="Arial"/>
          <w:sz w:val="22"/>
          <w:szCs w:val="22"/>
        </w:rPr>
        <w:t xml:space="preserve">sales, revenue and expenses for the first half of the current year 2013-14 and based on estimates for next half of current year, the uncovered gap for FY 2014-15 is Rs. </w:t>
      </w:r>
      <w:r w:rsidR="003E298F">
        <w:rPr>
          <w:rFonts w:ascii="Arial" w:hAnsi="Arial" w:cs="Arial"/>
          <w:sz w:val="22"/>
          <w:szCs w:val="22"/>
        </w:rPr>
        <w:t>347</w:t>
      </w:r>
      <w:r w:rsidR="003E6E07" w:rsidRPr="00D43831">
        <w:rPr>
          <w:rFonts w:ascii="Arial" w:hAnsi="Arial" w:cs="Arial"/>
          <w:sz w:val="22"/>
          <w:szCs w:val="22"/>
        </w:rPr>
        <w:t>.</w:t>
      </w:r>
      <w:r w:rsidR="003E298F">
        <w:rPr>
          <w:rFonts w:ascii="Arial" w:hAnsi="Arial" w:cs="Arial"/>
          <w:sz w:val="22"/>
          <w:szCs w:val="22"/>
        </w:rPr>
        <w:t>89</w:t>
      </w:r>
      <w:r w:rsidRPr="00D43831">
        <w:rPr>
          <w:rFonts w:ascii="Arial" w:hAnsi="Arial" w:cs="Arial"/>
          <w:sz w:val="22"/>
          <w:szCs w:val="22"/>
        </w:rPr>
        <w:t xml:space="preserve">Crore as against the </w:t>
      </w:r>
      <w:r w:rsidR="00580DE0" w:rsidRPr="00D43831">
        <w:rPr>
          <w:rFonts w:ascii="Arial" w:hAnsi="Arial" w:cs="Arial"/>
          <w:sz w:val="22"/>
          <w:szCs w:val="22"/>
        </w:rPr>
        <w:t>deficit</w:t>
      </w:r>
      <w:r w:rsidRPr="00D43831">
        <w:rPr>
          <w:rFonts w:ascii="Arial" w:hAnsi="Arial" w:cs="Arial"/>
          <w:sz w:val="22"/>
          <w:szCs w:val="22"/>
        </w:rPr>
        <w:t xml:space="preserve"> of Rs.</w:t>
      </w:r>
      <w:r w:rsidR="00580DE0" w:rsidRPr="00D43831">
        <w:rPr>
          <w:rFonts w:ascii="Arial" w:hAnsi="Arial" w:cs="Arial"/>
          <w:sz w:val="22"/>
          <w:szCs w:val="22"/>
        </w:rPr>
        <w:t xml:space="preserve"> 22.83</w:t>
      </w:r>
      <w:r w:rsidRPr="00D43831">
        <w:rPr>
          <w:rFonts w:ascii="Arial" w:hAnsi="Arial" w:cs="Arial"/>
          <w:sz w:val="22"/>
          <w:szCs w:val="22"/>
        </w:rPr>
        <w:t xml:space="preserve"> Crore as indicated below.</w:t>
      </w:r>
    </w:p>
    <w:p w:rsidR="003E298F" w:rsidRDefault="003A0CF1" w:rsidP="00A21B9D">
      <w:pPr>
        <w:spacing w:line="360" w:lineRule="auto"/>
        <w:ind w:left="6480" w:firstLine="720"/>
        <w:jc w:val="both"/>
        <w:rPr>
          <w:rFonts w:ascii="Cambria" w:hAnsi="Cambria" w:cs="Arial"/>
        </w:rPr>
      </w:pPr>
      <w:r w:rsidRPr="003A0CF1">
        <w:rPr>
          <w:rFonts w:ascii="Cambria" w:hAnsi="Cambria" w:cs="Arial"/>
          <w:b/>
        </w:rPr>
        <w:t>Rs. In Crores</w:t>
      </w:r>
    </w:p>
    <w:tbl>
      <w:tblPr>
        <w:tblW w:w="9800" w:type="dxa"/>
        <w:tblInd w:w="103" w:type="dxa"/>
        <w:tblLook w:val="04A0"/>
      </w:tblPr>
      <w:tblGrid>
        <w:gridCol w:w="4320"/>
        <w:gridCol w:w="1460"/>
        <w:gridCol w:w="1460"/>
        <w:gridCol w:w="1460"/>
        <w:gridCol w:w="1195"/>
      </w:tblGrid>
      <w:tr w:rsidR="003E298F" w:rsidRPr="003E298F" w:rsidTr="003E298F">
        <w:trPr>
          <w:trHeight w:val="510"/>
        </w:trPr>
        <w:tc>
          <w:tcPr>
            <w:tcW w:w="4320" w:type="dxa"/>
            <w:tcBorders>
              <w:top w:val="single" w:sz="4" w:space="0" w:color="auto"/>
              <w:left w:val="single" w:sz="4" w:space="0" w:color="auto"/>
              <w:bottom w:val="single" w:sz="4" w:space="0" w:color="auto"/>
              <w:right w:val="single" w:sz="4" w:space="0" w:color="auto"/>
            </w:tcBorders>
            <w:shd w:val="clear" w:color="auto" w:fill="auto"/>
            <w:noWrap/>
            <w:hideMark/>
          </w:tcPr>
          <w:p w:rsidR="003E298F" w:rsidRPr="003E298F" w:rsidRDefault="003E298F" w:rsidP="003E298F">
            <w:pPr>
              <w:jc w:val="center"/>
              <w:rPr>
                <w:rFonts w:ascii="Cambria" w:hAnsi="Cambria" w:cs="Arial"/>
                <w:lang w:val="en-IN" w:eastAsia="en-IN"/>
              </w:rPr>
            </w:pPr>
            <w:r w:rsidRPr="003E298F">
              <w:rPr>
                <w:rFonts w:ascii="Cambria" w:hAnsi="Cambria" w:cs="Arial"/>
                <w:lang w:val="en-IN" w:eastAsia="en-IN"/>
              </w:rPr>
              <w:t>NESCO</w:t>
            </w:r>
          </w:p>
        </w:tc>
        <w:tc>
          <w:tcPr>
            <w:tcW w:w="1460" w:type="dxa"/>
            <w:tcBorders>
              <w:top w:val="single" w:sz="4" w:space="0" w:color="auto"/>
              <w:left w:val="nil"/>
              <w:bottom w:val="single" w:sz="4" w:space="0" w:color="auto"/>
              <w:right w:val="single" w:sz="4" w:space="0" w:color="auto"/>
            </w:tcBorders>
            <w:shd w:val="clear" w:color="auto" w:fill="auto"/>
            <w:hideMark/>
          </w:tcPr>
          <w:p w:rsidR="003E298F" w:rsidRPr="003E298F" w:rsidRDefault="003E298F" w:rsidP="003E298F">
            <w:pPr>
              <w:rPr>
                <w:rFonts w:ascii="Cambria" w:hAnsi="Cambria" w:cs="Arial"/>
                <w:b/>
                <w:bCs/>
                <w:lang w:val="en-IN" w:eastAsia="en-IN"/>
              </w:rPr>
            </w:pPr>
            <w:r w:rsidRPr="003E298F">
              <w:rPr>
                <w:rFonts w:ascii="Cambria" w:hAnsi="Cambria" w:cs="Arial"/>
                <w:b/>
                <w:bCs/>
                <w:lang w:val="en-IN" w:eastAsia="en-IN"/>
              </w:rPr>
              <w:t>Unit</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3E298F" w:rsidRPr="003E298F" w:rsidRDefault="003E298F" w:rsidP="003E298F">
            <w:pPr>
              <w:jc w:val="center"/>
              <w:rPr>
                <w:rFonts w:ascii="Arial" w:hAnsi="Arial" w:cs="Arial"/>
                <w:b/>
                <w:bCs/>
                <w:sz w:val="20"/>
                <w:szCs w:val="20"/>
                <w:lang w:val="en-IN" w:eastAsia="en-IN"/>
              </w:rPr>
            </w:pPr>
            <w:r w:rsidRPr="003E298F">
              <w:rPr>
                <w:rFonts w:ascii="Arial" w:hAnsi="Arial" w:cs="Arial"/>
                <w:b/>
                <w:bCs/>
                <w:sz w:val="20"/>
                <w:szCs w:val="20"/>
                <w:lang w:val="en-IN" w:eastAsia="en-IN"/>
              </w:rPr>
              <w:t>OERC approval</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b/>
                <w:bCs/>
                <w:sz w:val="20"/>
                <w:szCs w:val="20"/>
                <w:lang w:val="en-IN" w:eastAsia="en-IN"/>
              </w:rPr>
            </w:pPr>
            <w:r w:rsidRPr="003E298F">
              <w:rPr>
                <w:rFonts w:ascii="Arial" w:hAnsi="Arial" w:cs="Arial"/>
                <w:b/>
                <w:bCs/>
                <w:sz w:val="20"/>
                <w:szCs w:val="20"/>
                <w:lang w:val="en-IN" w:eastAsia="en-IN"/>
              </w:rPr>
              <w:t>Estimated</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b/>
                <w:bCs/>
                <w:sz w:val="20"/>
                <w:szCs w:val="20"/>
                <w:lang w:val="en-IN" w:eastAsia="en-IN"/>
              </w:rPr>
            </w:pPr>
            <w:r w:rsidRPr="003E298F">
              <w:rPr>
                <w:rFonts w:ascii="Arial" w:hAnsi="Arial" w:cs="Arial"/>
                <w:b/>
                <w:bCs/>
                <w:sz w:val="20"/>
                <w:szCs w:val="20"/>
                <w:lang w:val="en-IN" w:eastAsia="en-IN"/>
              </w:rPr>
              <w:t>Difference</w:t>
            </w:r>
          </w:p>
        </w:tc>
      </w:tr>
      <w:tr w:rsidR="003E298F" w:rsidRPr="003E298F" w:rsidTr="003E298F">
        <w:trPr>
          <w:trHeight w:val="315"/>
        </w:trPr>
        <w:tc>
          <w:tcPr>
            <w:tcW w:w="4320" w:type="dxa"/>
            <w:tcBorders>
              <w:top w:val="nil"/>
              <w:left w:val="single" w:sz="4" w:space="0" w:color="auto"/>
              <w:bottom w:val="single" w:sz="4" w:space="0" w:color="auto"/>
              <w:right w:val="single" w:sz="4" w:space="0" w:color="auto"/>
            </w:tcBorders>
            <w:shd w:val="clear" w:color="auto" w:fill="auto"/>
            <w:noWrap/>
            <w:hideMark/>
          </w:tcPr>
          <w:p w:rsidR="003E298F" w:rsidRPr="003E298F" w:rsidRDefault="003E298F" w:rsidP="003E298F">
            <w:pPr>
              <w:rPr>
                <w:rFonts w:ascii="Cambria" w:hAnsi="Cambria" w:cs="Arial"/>
                <w:i/>
                <w:iCs/>
                <w:lang w:val="en-IN" w:eastAsia="en-IN"/>
              </w:rPr>
            </w:pPr>
            <w:r w:rsidRPr="003E298F">
              <w:rPr>
                <w:rFonts w:ascii="Cambria" w:hAnsi="Cambria" w:cs="Arial"/>
                <w:i/>
                <w:iCs/>
                <w:lang w:val="en-IN" w:eastAsia="en-IN"/>
              </w:rPr>
              <w:t>No of Units – sale</w:t>
            </w:r>
          </w:p>
        </w:tc>
        <w:tc>
          <w:tcPr>
            <w:tcW w:w="1460" w:type="dxa"/>
            <w:tcBorders>
              <w:top w:val="nil"/>
              <w:left w:val="nil"/>
              <w:bottom w:val="single" w:sz="4" w:space="0" w:color="auto"/>
              <w:right w:val="single" w:sz="4" w:space="0" w:color="auto"/>
            </w:tcBorders>
            <w:shd w:val="clear" w:color="auto" w:fill="auto"/>
            <w:hideMark/>
          </w:tcPr>
          <w:p w:rsidR="003E298F" w:rsidRPr="003E298F" w:rsidRDefault="003E298F" w:rsidP="003E298F">
            <w:pPr>
              <w:rPr>
                <w:rFonts w:ascii="Cambria" w:hAnsi="Cambria" w:cs="Arial"/>
                <w:i/>
                <w:iCs/>
                <w:lang w:val="en-IN" w:eastAsia="en-IN"/>
              </w:rPr>
            </w:pPr>
            <w:r w:rsidRPr="003E298F">
              <w:rPr>
                <w:rFonts w:ascii="Cambria" w:hAnsi="Cambria" w:cs="Arial"/>
                <w:i/>
                <w:iCs/>
                <w:lang w:val="en-IN" w:eastAsia="en-IN"/>
              </w:rPr>
              <w:t>MU</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4351.950</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3606.796</w:t>
            </w:r>
          </w:p>
        </w:tc>
        <w:tc>
          <w:tcPr>
            <w:tcW w:w="110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-745.154</w:t>
            </w:r>
          </w:p>
        </w:tc>
      </w:tr>
      <w:tr w:rsidR="003E298F" w:rsidRPr="003E298F" w:rsidTr="003E298F">
        <w:trPr>
          <w:trHeight w:val="315"/>
        </w:trPr>
        <w:tc>
          <w:tcPr>
            <w:tcW w:w="4320" w:type="dxa"/>
            <w:tcBorders>
              <w:top w:val="nil"/>
              <w:left w:val="single" w:sz="4" w:space="0" w:color="auto"/>
              <w:bottom w:val="single" w:sz="4" w:space="0" w:color="auto"/>
              <w:right w:val="single" w:sz="4" w:space="0" w:color="auto"/>
            </w:tcBorders>
            <w:shd w:val="clear" w:color="000000" w:fill="FFFFFF"/>
            <w:noWrap/>
            <w:hideMark/>
          </w:tcPr>
          <w:p w:rsidR="003E298F" w:rsidRPr="003E298F" w:rsidRDefault="003E298F" w:rsidP="003E298F">
            <w:pPr>
              <w:rPr>
                <w:rFonts w:ascii="Cambria" w:hAnsi="Cambria" w:cs="Arial"/>
                <w:i/>
                <w:iCs/>
                <w:lang w:val="en-IN" w:eastAsia="en-IN"/>
              </w:rPr>
            </w:pPr>
            <w:r w:rsidRPr="003E298F">
              <w:rPr>
                <w:rFonts w:ascii="Cambria" w:hAnsi="Cambria" w:cs="Arial"/>
                <w:i/>
                <w:iCs/>
                <w:lang w:val="en-IN" w:eastAsia="en-IN"/>
              </w:rPr>
              <w:t>RST per unit</w:t>
            </w:r>
          </w:p>
        </w:tc>
        <w:tc>
          <w:tcPr>
            <w:tcW w:w="1460" w:type="dxa"/>
            <w:tcBorders>
              <w:top w:val="nil"/>
              <w:left w:val="nil"/>
              <w:bottom w:val="single" w:sz="4" w:space="0" w:color="auto"/>
              <w:right w:val="single" w:sz="4" w:space="0" w:color="auto"/>
            </w:tcBorders>
            <w:shd w:val="clear" w:color="000000" w:fill="FFFFFF"/>
            <w:hideMark/>
          </w:tcPr>
          <w:p w:rsidR="003E298F" w:rsidRPr="003E298F" w:rsidRDefault="003E298F" w:rsidP="003E298F">
            <w:pPr>
              <w:rPr>
                <w:rFonts w:ascii="Cambria" w:hAnsi="Cambria" w:cs="Arial"/>
                <w:i/>
                <w:iCs/>
                <w:lang w:val="en-IN" w:eastAsia="en-IN"/>
              </w:rPr>
            </w:pPr>
            <w:r w:rsidRPr="003E298F">
              <w:rPr>
                <w:rFonts w:ascii="Cambria" w:hAnsi="Cambria" w:cs="Arial"/>
                <w:i/>
                <w:iCs/>
                <w:lang w:val="en-IN" w:eastAsia="en-IN"/>
              </w:rPr>
              <w:t>Rs/Kwh</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456</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476</w:t>
            </w:r>
          </w:p>
        </w:tc>
        <w:tc>
          <w:tcPr>
            <w:tcW w:w="110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20</w:t>
            </w:r>
          </w:p>
        </w:tc>
      </w:tr>
      <w:tr w:rsidR="003E298F" w:rsidRPr="003E298F" w:rsidTr="003E298F">
        <w:trPr>
          <w:trHeight w:val="315"/>
        </w:trPr>
        <w:tc>
          <w:tcPr>
            <w:tcW w:w="4320" w:type="dxa"/>
            <w:tcBorders>
              <w:top w:val="nil"/>
              <w:left w:val="single" w:sz="4" w:space="0" w:color="auto"/>
              <w:bottom w:val="single" w:sz="4" w:space="0" w:color="auto"/>
              <w:right w:val="single" w:sz="4" w:space="0" w:color="auto"/>
            </w:tcBorders>
            <w:shd w:val="clear" w:color="000000" w:fill="FFFFFF"/>
            <w:noWrap/>
            <w:hideMark/>
          </w:tcPr>
          <w:p w:rsidR="003E298F" w:rsidRPr="003E298F" w:rsidRDefault="003E298F" w:rsidP="003E298F">
            <w:pPr>
              <w:rPr>
                <w:rFonts w:ascii="Cambria" w:hAnsi="Cambria" w:cs="Arial"/>
                <w:lang w:val="en-IN" w:eastAsia="en-IN"/>
              </w:rPr>
            </w:pPr>
            <w:r w:rsidRPr="003E298F">
              <w:rPr>
                <w:rFonts w:ascii="Cambria" w:hAnsi="Cambria" w:cs="Arial"/>
                <w:lang w:val="en-IN" w:eastAsia="en-IN"/>
              </w:rPr>
              <w:t>Sales</w:t>
            </w:r>
          </w:p>
        </w:tc>
        <w:tc>
          <w:tcPr>
            <w:tcW w:w="1460" w:type="dxa"/>
            <w:tcBorders>
              <w:top w:val="nil"/>
              <w:left w:val="nil"/>
              <w:bottom w:val="single" w:sz="4" w:space="0" w:color="auto"/>
              <w:right w:val="single" w:sz="4" w:space="0" w:color="auto"/>
            </w:tcBorders>
            <w:shd w:val="clear" w:color="000000" w:fill="FFFFFF"/>
            <w:hideMark/>
          </w:tcPr>
          <w:p w:rsidR="003E298F" w:rsidRPr="003E298F" w:rsidRDefault="003E298F" w:rsidP="003E298F">
            <w:pPr>
              <w:rPr>
                <w:rFonts w:ascii="Cambria" w:hAnsi="Cambria" w:cs="Arial"/>
                <w:lang w:val="en-IN" w:eastAsia="en-IN"/>
              </w:rPr>
            </w:pPr>
            <w:r w:rsidRPr="003E298F">
              <w:rPr>
                <w:rFonts w:ascii="Cambria" w:hAnsi="Cambria" w:cs="Arial"/>
                <w:lang w:val="en-IN" w:eastAsia="en-IN"/>
              </w:rPr>
              <w:t>Rs Crore</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1984.41</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1716.63</w:t>
            </w:r>
          </w:p>
        </w:tc>
        <w:tc>
          <w:tcPr>
            <w:tcW w:w="110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-267.78</w:t>
            </w:r>
          </w:p>
        </w:tc>
      </w:tr>
      <w:tr w:rsidR="003E298F" w:rsidRPr="003E298F" w:rsidTr="003E298F">
        <w:trPr>
          <w:trHeight w:val="315"/>
        </w:trPr>
        <w:tc>
          <w:tcPr>
            <w:tcW w:w="4320" w:type="dxa"/>
            <w:tcBorders>
              <w:top w:val="nil"/>
              <w:left w:val="single" w:sz="4" w:space="0" w:color="auto"/>
              <w:bottom w:val="single" w:sz="4" w:space="0" w:color="auto"/>
              <w:right w:val="single" w:sz="4" w:space="0" w:color="auto"/>
            </w:tcBorders>
            <w:shd w:val="clear" w:color="000000" w:fill="FFFFFF"/>
            <w:noWrap/>
            <w:hideMark/>
          </w:tcPr>
          <w:p w:rsidR="003E298F" w:rsidRPr="003E298F" w:rsidRDefault="003E298F" w:rsidP="003E298F">
            <w:pPr>
              <w:ind w:firstLineChars="100" w:firstLine="240"/>
              <w:rPr>
                <w:rFonts w:ascii="Cambria" w:hAnsi="Cambria" w:cs="Arial"/>
                <w:lang w:val="en-IN" w:eastAsia="en-IN"/>
              </w:rPr>
            </w:pPr>
            <w:r w:rsidRPr="003E298F">
              <w:rPr>
                <w:rFonts w:ascii="Cambria" w:hAnsi="Cambria" w:cs="Arial"/>
                <w:lang w:val="en-IN" w:eastAsia="en-IN"/>
              </w:rPr>
              <w:t>Less-Bad Debts</w:t>
            </w:r>
          </w:p>
        </w:tc>
        <w:tc>
          <w:tcPr>
            <w:tcW w:w="1460" w:type="dxa"/>
            <w:tcBorders>
              <w:top w:val="nil"/>
              <w:left w:val="nil"/>
              <w:bottom w:val="single" w:sz="4" w:space="0" w:color="auto"/>
              <w:right w:val="single" w:sz="4" w:space="0" w:color="auto"/>
            </w:tcBorders>
            <w:shd w:val="clear" w:color="000000" w:fill="FFFFFF"/>
            <w:hideMark/>
          </w:tcPr>
          <w:p w:rsidR="003E298F" w:rsidRPr="003E298F" w:rsidRDefault="003E298F" w:rsidP="003E298F">
            <w:pPr>
              <w:rPr>
                <w:rFonts w:ascii="Cambria" w:hAnsi="Cambria" w:cs="Arial"/>
                <w:lang w:val="en-IN" w:eastAsia="en-IN"/>
              </w:rPr>
            </w:pPr>
            <w:r w:rsidRPr="003E298F">
              <w:rPr>
                <w:rFonts w:ascii="Cambria" w:hAnsi="Cambria" w:cs="Arial"/>
                <w:lang w:val="en-IN" w:eastAsia="en-IN"/>
              </w:rPr>
              <w:t>Rs Crore</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11.29</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54.07</w:t>
            </w:r>
          </w:p>
        </w:tc>
        <w:tc>
          <w:tcPr>
            <w:tcW w:w="110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42.78</w:t>
            </w:r>
          </w:p>
        </w:tc>
      </w:tr>
      <w:tr w:rsidR="003E298F" w:rsidRPr="003E298F" w:rsidTr="003E298F">
        <w:trPr>
          <w:trHeight w:val="315"/>
        </w:trPr>
        <w:tc>
          <w:tcPr>
            <w:tcW w:w="4320" w:type="dxa"/>
            <w:tcBorders>
              <w:top w:val="nil"/>
              <w:left w:val="single" w:sz="4" w:space="0" w:color="auto"/>
              <w:bottom w:val="single" w:sz="4" w:space="0" w:color="auto"/>
              <w:right w:val="single" w:sz="4" w:space="0" w:color="auto"/>
            </w:tcBorders>
            <w:shd w:val="clear" w:color="000000" w:fill="FFFFFF"/>
            <w:noWrap/>
            <w:hideMark/>
          </w:tcPr>
          <w:p w:rsidR="003E298F" w:rsidRPr="003E298F" w:rsidRDefault="003E298F" w:rsidP="003E298F">
            <w:pPr>
              <w:rPr>
                <w:rFonts w:ascii="Cambria" w:hAnsi="Cambria" w:cs="Arial"/>
                <w:lang w:val="en-IN" w:eastAsia="en-IN"/>
              </w:rPr>
            </w:pPr>
            <w:r w:rsidRPr="003E298F">
              <w:rPr>
                <w:rFonts w:ascii="Cambria" w:hAnsi="Cambria" w:cs="Arial"/>
                <w:lang w:val="en-IN" w:eastAsia="en-IN"/>
              </w:rPr>
              <w:t>Net Sales</w:t>
            </w:r>
          </w:p>
        </w:tc>
        <w:tc>
          <w:tcPr>
            <w:tcW w:w="1460" w:type="dxa"/>
            <w:tcBorders>
              <w:top w:val="nil"/>
              <w:left w:val="nil"/>
              <w:bottom w:val="single" w:sz="4" w:space="0" w:color="auto"/>
              <w:right w:val="single" w:sz="4" w:space="0" w:color="auto"/>
            </w:tcBorders>
            <w:shd w:val="clear" w:color="000000" w:fill="FFFFFF"/>
            <w:hideMark/>
          </w:tcPr>
          <w:p w:rsidR="003E298F" w:rsidRPr="003E298F" w:rsidRDefault="003E298F" w:rsidP="003E298F">
            <w:pPr>
              <w:rPr>
                <w:rFonts w:ascii="Cambria" w:hAnsi="Cambria" w:cs="Arial"/>
                <w:lang w:val="en-IN" w:eastAsia="en-IN"/>
              </w:rPr>
            </w:pPr>
            <w:r w:rsidRPr="003E298F">
              <w:rPr>
                <w:rFonts w:ascii="Cambria" w:hAnsi="Cambria" w:cs="Arial"/>
                <w:lang w:val="en-IN" w:eastAsia="en-IN"/>
              </w:rPr>
              <w:t>Rs Crore</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1973.12</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1662.55</w:t>
            </w:r>
          </w:p>
        </w:tc>
        <w:tc>
          <w:tcPr>
            <w:tcW w:w="110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-310.57</w:t>
            </w:r>
          </w:p>
        </w:tc>
      </w:tr>
      <w:tr w:rsidR="003E298F" w:rsidRPr="003E298F" w:rsidTr="003E298F">
        <w:trPr>
          <w:trHeight w:val="315"/>
        </w:trPr>
        <w:tc>
          <w:tcPr>
            <w:tcW w:w="4320" w:type="dxa"/>
            <w:tcBorders>
              <w:top w:val="nil"/>
              <w:left w:val="single" w:sz="4" w:space="0" w:color="auto"/>
              <w:bottom w:val="single" w:sz="4" w:space="0" w:color="auto"/>
              <w:right w:val="single" w:sz="4" w:space="0" w:color="auto"/>
            </w:tcBorders>
            <w:shd w:val="clear" w:color="000000" w:fill="FFFFFF"/>
            <w:noWrap/>
            <w:hideMark/>
          </w:tcPr>
          <w:p w:rsidR="003E298F" w:rsidRPr="003E298F" w:rsidRDefault="003E298F" w:rsidP="003E298F">
            <w:pPr>
              <w:rPr>
                <w:rFonts w:ascii="Cambria" w:hAnsi="Cambria" w:cs="Arial"/>
                <w:lang w:val="en-IN" w:eastAsia="en-IN"/>
              </w:rPr>
            </w:pPr>
            <w:r w:rsidRPr="003E298F">
              <w:rPr>
                <w:rFonts w:ascii="Cambria" w:hAnsi="Cambria" w:cs="Arial"/>
                <w:lang w:val="en-IN" w:eastAsia="en-IN"/>
              </w:rPr>
              <w:t>Other Income</w:t>
            </w:r>
          </w:p>
        </w:tc>
        <w:tc>
          <w:tcPr>
            <w:tcW w:w="1460" w:type="dxa"/>
            <w:tcBorders>
              <w:top w:val="nil"/>
              <w:left w:val="nil"/>
              <w:bottom w:val="single" w:sz="4" w:space="0" w:color="auto"/>
              <w:right w:val="single" w:sz="4" w:space="0" w:color="auto"/>
            </w:tcBorders>
            <w:shd w:val="clear" w:color="000000" w:fill="FFFFFF"/>
            <w:hideMark/>
          </w:tcPr>
          <w:p w:rsidR="003E298F" w:rsidRPr="003E298F" w:rsidRDefault="003E298F" w:rsidP="003E298F">
            <w:pPr>
              <w:rPr>
                <w:rFonts w:ascii="Cambria" w:hAnsi="Cambria" w:cs="Arial"/>
                <w:lang w:val="en-IN" w:eastAsia="en-IN"/>
              </w:rPr>
            </w:pPr>
            <w:r w:rsidRPr="003E298F">
              <w:rPr>
                <w:rFonts w:ascii="Cambria" w:hAnsi="Cambria" w:cs="Arial"/>
                <w:lang w:val="en-IN" w:eastAsia="en-IN"/>
              </w:rPr>
              <w:t>Rs Crore</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56.64</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84.45</w:t>
            </w:r>
          </w:p>
        </w:tc>
        <w:tc>
          <w:tcPr>
            <w:tcW w:w="110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27.81</w:t>
            </w:r>
          </w:p>
        </w:tc>
      </w:tr>
      <w:tr w:rsidR="003E298F" w:rsidRPr="003E298F" w:rsidTr="003E298F">
        <w:trPr>
          <w:trHeight w:val="315"/>
        </w:trPr>
        <w:tc>
          <w:tcPr>
            <w:tcW w:w="4320" w:type="dxa"/>
            <w:tcBorders>
              <w:top w:val="nil"/>
              <w:left w:val="single" w:sz="4" w:space="0" w:color="auto"/>
              <w:bottom w:val="single" w:sz="4" w:space="0" w:color="auto"/>
              <w:right w:val="single" w:sz="4" w:space="0" w:color="auto"/>
            </w:tcBorders>
            <w:shd w:val="clear" w:color="000000" w:fill="FFFFFF"/>
            <w:noWrap/>
            <w:hideMark/>
          </w:tcPr>
          <w:p w:rsidR="003E298F" w:rsidRPr="003E298F" w:rsidRDefault="003E298F" w:rsidP="003E298F">
            <w:pPr>
              <w:ind w:firstLineChars="200" w:firstLine="482"/>
              <w:rPr>
                <w:rFonts w:ascii="Cambria" w:hAnsi="Cambria" w:cs="Arial"/>
                <w:b/>
                <w:bCs/>
                <w:lang w:val="en-IN" w:eastAsia="en-IN"/>
              </w:rPr>
            </w:pPr>
            <w:r w:rsidRPr="003E298F">
              <w:rPr>
                <w:rFonts w:ascii="Cambria" w:hAnsi="Cambria" w:cs="Arial"/>
                <w:b/>
                <w:bCs/>
                <w:lang w:val="en-IN" w:eastAsia="en-IN"/>
              </w:rPr>
              <w:t>Total Income</w:t>
            </w:r>
          </w:p>
        </w:tc>
        <w:tc>
          <w:tcPr>
            <w:tcW w:w="1460" w:type="dxa"/>
            <w:tcBorders>
              <w:top w:val="nil"/>
              <w:left w:val="nil"/>
              <w:bottom w:val="single" w:sz="4" w:space="0" w:color="auto"/>
              <w:right w:val="single" w:sz="4" w:space="0" w:color="auto"/>
            </w:tcBorders>
            <w:shd w:val="clear" w:color="000000" w:fill="FFFFFF"/>
            <w:hideMark/>
          </w:tcPr>
          <w:p w:rsidR="003E298F" w:rsidRPr="003E298F" w:rsidRDefault="003E298F" w:rsidP="003E298F">
            <w:pPr>
              <w:rPr>
                <w:rFonts w:ascii="Cambria" w:hAnsi="Cambria" w:cs="Arial"/>
                <w:b/>
                <w:bCs/>
                <w:lang w:val="en-IN" w:eastAsia="en-IN"/>
              </w:rPr>
            </w:pPr>
            <w:r w:rsidRPr="003E298F">
              <w:rPr>
                <w:rFonts w:ascii="Cambria" w:hAnsi="Cambria" w:cs="Arial"/>
                <w:b/>
                <w:bCs/>
                <w:lang w:val="en-IN" w:eastAsia="en-IN"/>
              </w:rPr>
              <w:t>Rs Crore</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b/>
                <w:bCs/>
                <w:sz w:val="20"/>
                <w:szCs w:val="20"/>
                <w:lang w:val="en-IN" w:eastAsia="en-IN"/>
              </w:rPr>
            </w:pPr>
            <w:r w:rsidRPr="003E298F">
              <w:rPr>
                <w:rFonts w:ascii="Arial" w:hAnsi="Arial" w:cs="Arial"/>
                <w:b/>
                <w:bCs/>
                <w:sz w:val="20"/>
                <w:szCs w:val="20"/>
                <w:lang w:val="en-IN" w:eastAsia="en-IN"/>
              </w:rPr>
              <w:t>2029.76</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b/>
                <w:bCs/>
                <w:sz w:val="20"/>
                <w:szCs w:val="20"/>
                <w:lang w:val="en-IN" w:eastAsia="en-IN"/>
              </w:rPr>
            </w:pPr>
            <w:r w:rsidRPr="003E298F">
              <w:rPr>
                <w:rFonts w:ascii="Arial" w:hAnsi="Arial" w:cs="Arial"/>
                <w:b/>
                <w:bCs/>
                <w:sz w:val="20"/>
                <w:szCs w:val="20"/>
                <w:lang w:val="en-IN" w:eastAsia="en-IN"/>
              </w:rPr>
              <w:t>1747.01</w:t>
            </w:r>
          </w:p>
        </w:tc>
        <w:tc>
          <w:tcPr>
            <w:tcW w:w="110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b/>
                <w:bCs/>
                <w:sz w:val="20"/>
                <w:szCs w:val="20"/>
                <w:lang w:val="en-IN" w:eastAsia="en-IN"/>
              </w:rPr>
            </w:pPr>
            <w:r w:rsidRPr="003E298F">
              <w:rPr>
                <w:rFonts w:ascii="Arial" w:hAnsi="Arial" w:cs="Arial"/>
                <w:b/>
                <w:bCs/>
                <w:sz w:val="20"/>
                <w:szCs w:val="20"/>
                <w:lang w:val="en-IN" w:eastAsia="en-IN"/>
              </w:rPr>
              <w:t>-282.75</w:t>
            </w:r>
          </w:p>
        </w:tc>
      </w:tr>
      <w:tr w:rsidR="003E298F" w:rsidRPr="003E298F" w:rsidTr="003E298F">
        <w:trPr>
          <w:trHeight w:val="315"/>
        </w:trPr>
        <w:tc>
          <w:tcPr>
            <w:tcW w:w="4320" w:type="dxa"/>
            <w:tcBorders>
              <w:top w:val="nil"/>
              <w:left w:val="single" w:sz="4" w:space="0" w:color="auto"/>
              <w:bottom w:val="single" w:sz="4" w:space="0" w:color="auto"/>
              <w:right w:val="single" w:sz="4" w:space="0" w:color="auto"/>
            </w:tcBorders>
            <w:shd w:val="clear" w:color="000000" w:fill="FFFFFF"/>
            <w:noWrap/>
            <w:hideMark/>
          </w:tcPr>
          <w:p w:rsidR="003E298F" w:rsidRPr="003E298F" w:rsidRDefault="003E298F" w:rsidP="003E298F">
            <w:pPr>
              <w:rPr>
                <w:rFonts w:ascii="Cambria" w:hAnsi="Cambria" w:cs="Arial"/>
                <w:i/>
                <w:iCs/>
                <w:lang w:val="en-IN" w:eastAsia="en-IN"/>
              </w:rPr>
            </w:pPr>
            <w:r w:rsidRPr="003E298F">
              <w:rPr>
                <w:rFonts w:ascii="Cambria" w:hAnsi="Cambria" w:cs="Arial"/>
                <w:i/>
                <w:iCs/>
                <w:lang w:val="en-IN" w:eastAsia="en-IN"/>
              </w:rPr>
              <w:t>Distribution Loss</w:t>
            </w:r>
          </w:p>
        </w:tc>
        <w:tc>
          <w:tcPr>
            <w:tcW w:w="1460" w:type="dxa"/>
            <w:tcBorders>
              <w:top w:val="nil"/>
              <w:left w:val="nil"/>
              <w:bottom w:val="single" w:sz="4" w:space="0" w:color="auto"/>
              <w:right w:val="single" w:sz="4" w:space="0" w:color="auto"/>
            </w:tcBorders>
            <w:shd w:val="clear" w:color="000000" w:fill="FFFFFF"/>
            <w:hideMark/>
          </w:tcPr>
          <w:p w:rsidR="003E298F" w:rsidRPr="003E298F" w:rsidRDefault="003E298F" w:rsidP="003E298F">
            <w:pPr>
              <w:rPr>
                <w:rFonts w:ascii="Cambria" w:hAnsi="Cambria" w:cs="Arial"/>
                <w:i/>
                <w:iCs/>
                <w:lang w:val="en-IN" w:eastAsia="en-IN"/>
              </w:rPr>
            </w:pPr>
            <w:r w:rsidRPr="003E298F">
              <w:rPr>
                <w:rFonts w:ascii="Cambria" w:hAnsi="Cambria" w:cs="Arial"/>
                <w:i/>
                <w:iCs/>
                <w:lang w:val="en-IN" w:eastAsia="en-IN"/>
              </w:rPr>
              <w:t>%</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18.35%</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31.91%</w:t>
            </w:r>
          </w:p>
        </w:tc>
        <w:tc>
          <w:tcPr>
            <w:tcW w:w="110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13.56%</w:t>
            </w:r>
          </w:p>
        </w:tc>
      </w:tr>
      <w:tr w:rsidR="003E298F" w:rsidRPr="003E298F" w:rsidTr="003E298F">
        <w:trPr>
          <w:trHeight w:val="315"/>
        </w:trPr>
        <w:tc>
          <w:tcPr>
            <w:tcW w:w="4320" w:type="dxa"/>
            <w:tcBorders>
              <w:top w:val="nil"/>
              <w:left w:val="single" w:sz="4" w:space="0" w:color="auto"/>
              <w:bottom w:val="single" w:sz="4" w:space="0" w:color="auto"/>
              <w:right w:val="single" w:sz="4" w:space="0" w:color="auto"/>
            </w:tcBorders>
            <w:shd w:val="clear" w:color="000000" w:fill="FFFFFF"/>
            <w:noWrap/>
            <w:hideMark/>
          </w:tcPr>
          <w:p w:rsidR="003E298F" w:rsidRPr="003E298F" w:rsidRDefault="003E298F" w:rsidP="003E298F">
            <w:pPr>
              <w:rPr>
                <w:rFonts w:ascii="Cambria" w:hAnsi="Cambria" w:cs="Arial"/>
                <w:i/>
                <w:iCs/>
                <w:lang w:val="en-IN" w:eastAsia="en-IN"/>
              </w:rPr>
            </w:pPr>
            <w:r w:rsidRPr="003E298F">
              <w:rPr>
                <w:rFonts w:ascii="Cambria" w:hAnsi="Cambria" w:cs="Arial"/>
                <w:i/>
                <w:iCs/>
                <w:lang w:val="en-IN" w:eastAsia="en-IN"/>
              </w:rPr>
              <w:t>No. of Units – Purchase</w:t>
            </w:r>
          </w:p>
        </w:tc>
        <w:tc>
          <w:tcPr>
            <w:tcW w:w="1460" w:type="dxa"/>
            <w:tcBorders>
              <w:top w:val="nil"/>
              <w:left w:val="nil"/>
              <w:bottom w:val="single" w:sz="4" w:space="0" w:color="auto"/>
              <w:right w:val="single" w:sz="4" w:space="0" w:color="auto"/>
            </w:tcBorders>
            <w:shd w:val="clear" w:color="000000" w:fill="FFFFFF"/>
            <w:hideMark/>
          </w:tcPr>
          <w:p w:rsidR="003E298F" w:rsidRPr="003E298F" w:rsidRDefault="003E298F" w:rsidP="003E298F">
            <w:pPr>
              <w:rPr>
                <w:rFonts w:ascii="Cambria" w:hAnsi="Cambria" w:cs="Arial"/>
                <w:i/>
                <w:iCs/>
                <w:lang w:val="en-IN" w:eastAsia="en-IN"/>
              </w:rPr>
            </w:pPr>
            <w:r w:rsidRPr="003E298F">
              <w:rPr>
                <w:rFonts w:ascii="Cambria" w:hAnsi="Cambria" w:cs="Arial"/>
                <w:i/>
                <w:iCs/>
                <w:lang w:val="en-IN" w:eastAsia="en-IN"/>
              </w:rPr>
              <w:t>MU</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5330.000</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5296.947</w:t>
            </w:r>
          </w:p>
        </w:tc>
        <w:tc>
          <w:tcPr>
            <w:tcW w:w="110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-33.053</w:t>
            </w:r>
          </w:p>
        </w:tc>
      </w:tr>
      <w:tr w:rsidR="003E298F" w:rsidRPr="003E298F" w:rsidTr="003E298F">
        <w:trPr>
          <w:trHeight w:val="315"/>
        </w:trPr>
        <w:tc>
          <w:tcPr>
            <w:tcW w:w="4320" w:type="dxa"/>
            <w:tcBorders>
              <w:top w:val="nil"/>
              <w:left w:val="single" w:sz="4" w:space="0" w:color="auto"/>
              <w:bottom w:val="single" w:sz="4" w:space="0" w:color="auto"/>
              <w:right w:val="single" w:sz="4" w:space="0" w:color="auto"/>
            </w:tcBorders>
            <w:shd w:val="clear" w:color="000000" w:fill="FFFFFF"/>
            <w:noWrap/>
            <w:hideMark/>
          </w:tcPr>
          <w:p w:rsidR="003E298F" w:rsidRPr="003E298F" w:rsidRDefault="003E298F" w:rsidP="003E298F">
            <w:pPr>
              <w:rPr>
                <w:rFonts w:ascii="Cambria" w:hAnsi="Cambria" w:cs="Arial"/>
                <w:i/>
                <w:iCs/>
                <w:lang w:val="en-IN" w:eastAsia="en-IN"/>
              </w:rPr>
            </w:pPr>
            <w:r w:rsidRPr="003E298F">
              <w:rPr>
                <w:rFonts w:ascii="Cambria" w:hAnsi="Cambria" w:cs="Arial"/>
                <w:i/>
                <w:iCs/>
                <w:lang w:val="en-IN" w:eastAsia="en-IN"/>
              </w:rPr>
              <w:t>BST per Unit</w:t>
            </w:r>
          </w:p>
        </w:tc>
        <w:tc>
          <w:tcPr>
            <w:tcW w:w="1460" w:type="dxa"/>
            <w:tcBorders>
              <w:top w:val="nil"/>
              <w:left w:val="nil"/>
              <w:bottom w:val="single" w:sz="4" w:space="0" w:color="auto"/>
              <w:right w:val="single" w:sz="4" w:space="0" w:color="auto"/>
            </w:tcBorders>
            <w:shd w:val="clear" w:color="000000" w:fill="FFFFFF"/>
            <w:hideMark/>
          </w:tcPr>
          <w:p w:rsidR="003E298F" w:rsidRPr="003E298F" w:rsidRDefault="003E298F" w:rsidP="003E298F">
            <w:pPr>
              <w:rPr>
                <w:rFonts w:ascii="Cambria" w:hAnsi="Cambria" w:cs="Arial"/>
                <w:i/>
                <w:iCs/>
                <w:lang w:val="en-IN" w:eastAsia="en-IN"/>
              </w:rPr>
            </w:pPr>
            <w:r w:rsidRPr="003E298F">
              <w:rPr>
                <w:rFonts w:ascii="Cambria" w:hAnsi="Cambria" w:cs="Arial"/>
                <w:i/>
                <w:iCs/>
                <w:lang w:val="en-IN" w:eastAsia="en-IN"/>
              </w:rPr>
              <w:t>Rs/Kwh</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305</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305</w:t>
            </w:r>
          </w:p>
        </w:tc>
        <w:tc>
          <w:tcPr>
            <w:tcW w:w="110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0</w:t>
            </w:r>
          </w:p>
        </w:tc>
      </w:tr>
      <w:tr w:rsidR="003E298F" w:rsidRPr="003E298F" w:rsidTr="003E298F">
        <w:trPr>
          <w:trHeight w:val="315"/>
        </w:trPr>
        <w:tc>
          <w:tcPr>
            <w:tcW w:w="4320" w:type="dxa"/>
            <w:tcBorders>
              <w:top w:val="nil"/>
              <w:left w:val="single" w:sz="4" w:space="0" w:color="auto"/>
              <w:bottom w:val="single" w:sz="4" w:space="0" w:color="auto"/>
              <w:right w:val="single" w:sz="4" w:space="0" w:color="auto"/>
            </w:tcBorders>
            <w:shd w:val="clear" w:color="000000" w:fill="FFFFFF"/>
            <w:noWrap/>
            <w:hideMark/>
          </w:tcPr>
          <w:p w:rsidR="003E298F" w:rsidRPr="003E298F" w:rsidRDefault="003E298F" w:rsidP="003E298F">
            <w:pPr>
              <w:rPr>
                <w:rFonts w:ascii="Cambria" w:hAnsi="Cambria" w:cs="Arial"/>
                <w:lang w:val="en-IN" w:eastAsia="en-IN"/>
              </w:rPr>
            </w:pPr>
            <w:r w:rsidRPr="003E298F">
              <w:rPr>
                <w:rFonts w:ascii="Cambria" w:hAnsi="Cambria" w:cs="Arial"/>
                <w:lang w:val="en-IN" w:eastAsia="en-IN"/>
              </w:rPr>
              <w:lastRenderedPageBreak/>
              <w:t>Cost of Power</w:t>
            </w:r>
          </w:p>
        </w:tc>
        <w:tc>
          <w:tcPr>
            <w:tcW w:w="1460" w:type="dxa"/>
            <w:tcBorders>
              <w:top w:val="nil"/>
              <w:left w:val="nil"/>
              <w:bottom w:val="single" w:sz="4" w:space="0" w:color="auto"/>
              <w:right w:val="single" w:sz="4" w:space="0" w:color="auto"/>
            </w:tcBorders>
            <w:shd w:val="clear" w:color="000000" w:fill="FFFFFF"/>
            <w:hideMark/>
          </w:tcPr>
          <w:p w:rsidR="003E298F" w:rsidRPr="003E298F" w:rsidRDefault="003E298F" w:rsidP="003E298F">
            <w:pPr>
              <w:rPr>
                <w:rFonts w:ascii="Cambria" w:hAnsi="Cambria" w:cs="Arial"/>
                <w:lang w:val="en-IN" w:eastAsia="en-IN"/>
              </w:rPr>
            </w:pPr>
            <w:r w:rsidRPr="003E298F">
              <w:rPr>
                <w:rFonts w:ascii="Cambria" w:hAnsi="Cambria" w:cs="Arial"/>
                <w:lang w:val="en-IN" w:eastAsia="en-IN"/>
              </w:rPr>
              <w:t>Rs Crore</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1626.51</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1616.42</w:t>
            </w:r>
          </w:p>
        </w:tc>
        <w:tc>
          <w:tcPr>
            <w:tcW w:w="110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-10.09</w:t>
            </w:r>
          </w:p>
        </w:tc>
      </w:tr>
      <w:tr w:rsidR="003E298F" w:rsidRPr="003E298F" w:rsidTr="003E298F">
        <w:trPr>
          <w:trHeight w:val="315"/>
        </w:trPr>
        <w:tc>
          <w:tcPr>
            <w:tcW w:w="4320" w:type="dxa"/>
            <w:tcBorders>
              <w:top w:val="nil"/>
              <w:left w:val="single" w:sz="4" w:space="0" w:color="auto"/>
              <w:bottom w:val="single" w:sz="4" w:space="0" w:color="auto"/>
              <w:right w:val="single" w:sz="4" w:space="0" w:color="auto"/>
            </w:tcBorders>
            <w:shd w:val="clear" w:color="000000" w:fill="FFFFFF"/>
            <w:noWrap/>
            <w:hideMark/>
          </w:tcPr>
          <w:p w:rsidR="003E298F" w:rsidRPr="003E298F" w:rsidRDefault="003E298F" w:rsidP="003E298F">
            <w:pPr>
              <w:rPr>
                <w:rFonts w:ascii="Cambria" w:hAnsi="Cambria" w:cs="Arial"/>
                <w:lang w:val="en-IN" w:eastAsia="en-IN"/>
              </w:rPr>
            </w:pPr>
            <w:r w:rsidRPr="003E298F">
              <w:rPr>
                <w:rFonts w:ascii="Cambria" w:hAnsi="Cambria" w:cs="Arial"/>
                <w:lang w:val="en-IN" w:eastAsia="en-IN"/>
              </w:rPr>
              <w:t>Distribution Expenses</w:t>
            </w:r>
          </w:p>
        </w:tc>
        <w:tc>
          <w:tcPr>
            <w:tcW w:w="1460" w:type="dxa"/>
            <w:tcBorders>
              <w:top w:val="nil"/>
              <w:left w:val="nil"/>
              <w:bottom w:val="single" w:sz="4" w:space="0" w:color="auto"/>
              <w:right w:val="single" w:sz="4" w:space="0" w:color="auto"/>
            </w:tcBorders>
            <w:shd w:val="clear" w:color="000000" w:fill="FFFFFF"/>
            <w:hideMark/>
          </w:tcPr>
          <w:p w:rsidR="003E298F" w:rsidRPr="003E298F" w:rsidRDefault="003E298F" w:rsidP="003E298F">
            <w:pPr>
              <w:rPr>
                <w:rFonts w:ascii="Cambria" w:hAnsi="Cambria" w:cs="Arial"/>
                <w:lang w:val="en-IN" w:eastAsia="en-IN"/>
              </w:rPr>
            </w:pPr>
            <w:r w:rsidRPr="003E298F">
              <w:rPr>
                <w:rFonts w:ascii="Cambria" w:hAnsi="Cambria" w:cs="Arial"/>
                <w:lang w:val="en-IN" w:eastAsia="en-IN"/>
              </w:rPr>
              <w:t>Rs Crore</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336.16</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343.66</w:t>
            </w:r>
          </w:p>
        </w:tc>
        <w:tc>
          <w:tcPr>
            <w:tcW w:w="110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7.50</w:t>
            </w:r>
          </w:p>
        </w:tc>
      </w:tr>
      <w:tr w:rsidR="003E298F" w:rsidRPr="003E298F" w:rsidTr="003E298F">
        <w:trPr>
          <w:trHeight w:val="315"/>
        </w:trPr>
        <w:tc>
          <w:tcPr>
            <w:tcW w:w="4320" w:type="dxa"/>
            <w:tcBorders>
              <w:top w:val="nil"/>
              <w:left w:val="single" w:sz="4" w:space="0" w:color="auto"/>
              <w:bottom w:val="single" w:sz="4" w:space="0" w:color="auto"/>
              <w:right w:val="single" w:sz="4" w:space="0" w:color="auto"/>
            </w:tcBorders>
            <w:shd w:val="clear" w:color="000000" w:fill="FFFFFF"/>
            <w:noWrap/>
            <w:hideMark/>
          </w:tcPr>
          <w:p w:rsidR="003E298F" w:rsidRPr="003E298F" w:rsidRDefault="003E298F" w:rsidP="003E298F">
            <w:pPr>
              <w:rPr>
                <w:rFonts w:ascii="Cambria" w:hAnsi="Cambria" w:cs="Arial"/>
                <w:sz w:val="22"/>
                <w:szCs w:val="22"/>
                <w:lang w:val="en-IN" w:eastAsia="en-IN"/>
              </w:rPr>
            </w:pPr>
            <w:r w:rsidRPr="003E298F">
              <w:rPr>
                <w:rFonts w:ascii="Cambria" w:hAnsi="Cambria" w:cs="Arial"/>
                <w:sz w:val="22"/>
                <w:szCs w:val="22"/>
                <w:lang w:val="en-IN" w:eastAsia="en-IN"/>
              </w:rPr>
              <w:t>Interest &amp; Finance charges</w:t>
            </w:r>
          </w:p>
        </w:tc>
        <w:tc>
          <w:tcPr>
            <w:tcW w:w="1460" w:type="dxa"/>
            <w:tcBorders>
              <w:top w:val="nil"/>
              <w:left w:val="nil"/>
              <w:bottom w:val="single" w:sz="4" w:space="0" w:color="auto"/>
              <w:right w:val="single" w:sz="4" w:space="0" w:color="auto"/>
            </w:tcBorders>
            <w:shd w:val="clear" w:color="000000" w:fill="FFFFFF"/>
            <w:hideMark/>
          </w:tcPr>
          <w:p w:rsidR="003E298F" w:rsidRPr="003E298F" w:rsidRDefault="003E298F" w:rsidP="003E298F">
            <w:pPr>
              <w:rPr>
                <w:rFonts w:ascii="Cambria" w:hAnsi="Cambria" w:cs="Arial"/>
                <w:lang w:val="en-IN" w:eastAsia="en-IN"/>
              </w:rPr>
            </w:pPr>
            <w:r w:rsidRPr="003E298F">
              <w:rPr>
                <w:rFonts w:ascii="Cambria" w:hAnsi="Cambria" w:cs="Arial"/>
                <w:lang w:val="en-IN" w:eastAsia="en-IN"/>
              </w:rPr>
              <w:t>Rs Crore</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44.86</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84.45</w:t>
            </w:r>
          </w:p>
        </w:tc>
        <w:tc>
          <w:tcPr>
            <w:tcW w:w="110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39.59</w:t>
            </w:r>
          </w:p>
        </w:tc>
      </w:tr>
      <w:tr w:rsidR="003E298F" w:rsidRPr="003E298F" w:rsidTr="003E298F">
        <w:trPr>
          <w:trHeight w:val="315"/>
        </w:trPr>
        <w:tc>
          <w:tcPr>
            <w:tcW w:w="4320" w:type="dxa"/>
            <w:tcBorders>
              <w:top w:val="nil"/>
              <w:left w:val="single" w:sz="4" w:space="0" w:color="auto"/>
              <w:bottom w:val="single" w:sz="4" w:space="0" w:color="auto"/>
              <w:right w:val="single" w:sz="4" w:space="0" w:color="auto"/>
            </w:tcBorders>
            <w:shd w:val="clear" w:color="000000" w:fill="FFFFFF"/>
            <w:noWrap/>
            <w:hideMark/>
          </w:tcPr>
          <w:p w:rsidR="003E298F" w:rsidRPr="003E298F" w:rsidRDefault="003E298F" w:rsidP="003E298F">
            <w:pPr>
              <w:rPr>
                <w:rFonts w:ascii="Cambria" w:hAnsi="Cambria" w:cs="Arial"/>
                <w:lang w:val="en-IN" w:eastAsia="en-IN"/>
              </w:rPr>
            </w:pPr>
            <w:r w:rsidRPr="003E298F">
              <w:rPr>
                <w:rFonts w:ascii="Cambria" w:hAnsi="Cambria" w:cs="Arial"/>
                <w:lang w:val="en-IN" w:eastAsia="en-IN"/>
              </w:rPr>
              <w:t>Depreciation</w:t>
            </w:r>
          </w:p>
        </w:tc>
        <w:tc>
          <w:tcPr>
            <w:tcW w:w="1460" w:type="dxa"/>
            <w:tcBorders>
              <w:top w:val="nil"/>
              <w:left w:val="nil"/>
              <w:bottom w:val="single" w:sz="4" w:space="0" w:color="auto"/>
              <w:right w:val="single" w:sz="4" w:space="0" w:color="auto"/>
            </w:tcBorders>
            <w:shd w:val="clear" w:color="000000" w:fill="FFFFFF"/>
            <w:hideMark/>
          </w:tcPr>
          <w:p w:rsidR="003E298F" w:rsidRPr="003E298F" w:rsidRDefault="003E298F" w:rsidP="003E298F">
            <w:pPr>
              <w:rPr>
                <w:rFonts w:ascii="Cambria" w:hAnsi="Cambria" w:cs="Arial"/>
                <w:lang w:val="en-IN" w:eastAsia="en-IN"/>
              </w:rPr>
            </w:pPr>
            <w:r w:rsidRPr="003E298F">
              <w:rPr>
                <w:rFonts w:ascii="Cambria" w:hAnsi="Cambria" w:cs="Arial"/>
                <w:lang w:val="en-IN" w:eastAsia="en-IN"/>
              </w:rPr>
              <w:t>Rs Crore</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34.51</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36.07</w:t>
            </w:r>
          </w:p>
        </w:tc>
        <w:tc>
          <w:tcPr>
            <w:tcW w:w="110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1.56</w:t>
            </w:r>
          </w:p>
        </w:tc>
      </w:tr>
      <w:tr w:rsidR="003E298F" w:rsidRPr="003E298F" w:rsidTr="003E298F">
        <w:trPr>
          <w:trHeight w:val="315"/>
        </w:trPr>
        <w:tc>
          <w:tcPr>
            <w:tcW w:w="4320" w:type="dxa"/>
            <w:tcBorders>
              <w:top w:val="nil"/>
              <w:left w:val="single" w:sz="4" w:space="0" w:color="auto"/>
              <w:bottom w:val="single" w:sz="4" w:space="0" w:color="auto"/>
              <w:right w:val="single" w:sz="4" w:space="0" w:color="auto"/>
            </w:tcBorders>
            <w:shd w:val="clear" w:color="000000" w:fill="FFFFFF"/>
            <w:noWrap/>
            <w:hideMark/>
          </w:tcPr>
          <w:p w:rsidR="003E298F" w:rsidRPr="003E298F" w:rsidRDefault="003E298F" w:rsidP="003E298F">
            <w:pPr>
              <w:ind w:firstLineChars="200" w:firstLine="482"/>
              <w:rPr>
                <w:rFonts w:ascii="Cambria" w:hAnsi="Cambria" w:cs="Arial"/>
                <w:b/>
                <w:bCs/>
                <w:lang w:val="en-IN" w:eastAsia="en-IN"/>
              </w:rPr>
            </w:pPr>
            <w:r w:rsidRPr="003E298F">
              <w:rPr>
                <w:rFonts w:ascii="Cambria" w:hAnsi="Cambria" w:cs="Arial"/>
                <w:b/>
                <w:bCs/>
                <w:lang w:val="en-IN" w:eastAsia="en-IN"/>
              </w:rPr>
              <w:t>Total Expenditure</w:t>
            </w:r>
          </w:p>
        </w:tc>
        <w:tc>
          <w:tcPr>
            <w:tcW w:w="1460" w:type="dxa"/>
            <w:tcBorders>
              <w:top w:val="nil"/>
              <w:left w:val="nil"/>
              <w:bottom w:val="single" w:sz="4" w:space="0" w:color="auto"/>
              <w:right w:val="single" w:sz="4" w:space="0" w:color="auto"/>
            </w:tcBorders>
            <w:shd w:val="clear" w:color="000000" w:fill="FFFFFF"/>
            <w:hideMark/>
          </w:tcPr>
          <w:p w:rsidR="003E298F" w:rsidRPr="003E298F" w:rsidRDefault="003E298F" w:rsidP="003E298F">
            <w:pPr>
              <w:rPr>
                <w:rFonts w:ascii="Cambria" w:hAnsi="Cambria" w:cs="Arial"/>
                <w:b/>
                <w:bCs/>
                <w:lang w:val="en-IN" w:eastAsia="en-IN"/>
              </w:rPr>
            </w:pPr>
            <w:r w:rsidRPr="003E298F">
              <w:rPr>
                <w:rFonts w:ascii="Cambria" w:hAnsi="Cambria" w:cs="Arial"/>
                <w:b/>
                <w:bCs/>
                <w:lang w:val="en-IN" w:eastAsia="en-IN"/>
              </w:rPr>
              <w:t>Rs Crore</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b/>
                <w:bCs/>
                <w:sz w:val="20"/>
                <w:szCs w:val="20"/>
                <w:lang w:val="en-IN" w:eastAsia="en-IN"/>
              </w:rPr>
            </w:pPr>
            <w:r w:rsidRPr="003E298F">
              <w:rPr>
                <w:rFonts w:ascii="Arial" w:hAnsi="Arial" w:cs="Arial"/>
                <w:b/>
                <w:bCs/>
                <w:sz w:val="20"/>
                <w:szCs w:val="20"/>
                <w:lang w:val="en-IN" w:eastAsia="en-IN"/>
              </w:rPr>
              <w:t>2042.04</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b/>
                <w:bCs/>
                <w:sz w:val="20"/>
                <w:szCs w:val="20"/>
                <w:lang w:val="en-IN" w:eastAsia="en-IN"/>
              </w:rPr>
            </w:pPr>
            <w:r w:rsidRPr="003E298F">
              <w:rPr>
                <w:rFonts w:ascii="Arial" w:hAnsi="Arial" w:cs="Arial"/>
                <w:b/>
                <w:bCs/>
                <w:sz w:val="20"/>
                <w:szCs w:val="20"/>
                <w:lang w:val="en-IN" w:eastAsia="en-IN"/>
              </w:rPr>
              <w:t>2080.60</w:t>
            </w:r>
          </w:p>
        </w:tc>
        <w:tc>
          <w:tcPr>
            <w:tcW w:w="110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b/>
                <w:bCs/>
                <w:sz w:val="20"/>
                <w:szCs w:val="20"/>
                <w:lang w:val="en-IN" w:eastAsia="en-IN"/>
              </w:rPr>
            </w:pPr>
            <w:r w:rsidRPr="003E298F">
              <w:rPr>
                <w:rFonts w:ascii="Arial" w:hAnsi="Arial" w:cs="Arial"/>
                <w:b/>
                <w:bCs/>
                <w:sz w:val="20"/>
                <w:szCs w:val="20"/>
                <w:lang w:val="en-IN" w:eastAsia="en-IN"/>
              </w:rPr>
              <w:t>38.56</w:t>
            </w:r>
          </w:p>
        </w:tc>
      </w:tr>
      <w:tr w:rsidR="003E298F" w:rsidRPr="003E298F" w:rsidTr="003E298F">
        <w:trPr>
          <w:trHeight w:val="315"/>
        </w:trPr>
        <w:tc>
          <w:tcPr>
            <w:tcW w:w="4320" w:type="dxa"/>
            <w:tcBorders>
              <w:top w:val="nil"/>
              <w:left w:val="single" w:sz="4" w:space="0" w:color="auto"/>
              <w:bottom w:val="single" w:sz="4" w:space="0" w:color="auto"/>
              <w:right w:val="single" w:sz="4" w:space="0" w:color="auto"/>
            </w:tcBorders>
            <w:shd w:val="clear" w:color="000000" w:fill="FFFFFF"/>
            <w:noWrap/>
            <w:hideMark/>
          </w:tcPr>
          <w:p w:rsidR="003E298F" w:rsidRPr="003E298F" w:rsidRDefault="003E298F" w:rsidP="003E298F">
            <w:pPr>
              <w:rPr>
                <w:rFonts w:ascii="Cambria" w:hAnsi="Cambria" w:cs="Arial"/>
                <w:lang w:val="en-IN" w:eastAsia="en-IN"/>
              </w:rPr>
            </w:pPr>
            <w:r w:rsidRPr="003E298F">
              <w:rPr>
                <w:rFonts w:ascii="Cambria" w:hAnsi="Cambria" w:cs="Arial"/>
                <w:lang w:val="en-IN" w:eastAsia="en-IN"/>
              </w:rPr>
              <w:t>Contingency Reserve</w:t>
            </w:r>
          </w:p>
        </w:tc>
        <w:tc>
          <w:tcPr>
            <w:tcW w:w="1460" w:type="dxa"/>
            <w:tcBorders>
              <w:top w:val="nil"/>
              <w:left w:val="nil"/>
              <w:bottom w:val="single" w:sz="4" w:space="0" w:color="auto"/>
              <w:right w:val="single" w:sz="4" w:space="0" w:color="auto"/>
            </w:tcBorders>
            <w:shd w:val="clear" w:color="000000" w:fill="FFFFFF"/>
            <w:hideMark/>
          </w:tcPr>
          <w:p w:rsidR="003E298F" w:rsidRPr="003E298F" w:rsidRDefault="003E298F" w:rsidP="003E298F">
            <w:pPr>
              <w:rPr>
                <w:rFonts w:ascii="Cambria" w:hAnsi="Cambria" w:cs="Arial"/>
                <w:lang w:val="en-IN" w:eastAsia="en-IN"/>
              </w:rPr>
            </w:pPr>
            <w:r w:rsidRPr="003E298F">
              <w:rPr>
                <w:rFonts w:ascii="Cambria" w:hAnsi="Cambria" w:cs="Arial"/>
                <w:lang w:val="en-IN" w:eastAsia="en-IN"/>
              </w:rPr>
              <w:t>Rs Crore</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0</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3.75</w:t>
            </w:r>
          </w:p>
        </w:tc>
        <w:tc>
          <w:tcPr>
            <w:tcW w:w="110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3.75</w:t>
            </w:r>
          </w:p>
        </w:tc>
      </w:tr>
      <w:tr w:rsidR="003E298F" w:rsidRPr="003E298F" w:rsidTr="003E298F">
        <w:trPr>
          <w:trHeight w:val="315"/>
        </w:trPr>
        <w:tc>
          <w:tcPr>
            <w:tcW w:w="4320" w:type="dxa"/>
            <w:tcBorders>
              <w:top w:val="nil"/>
              <w:left w:val="single" w:sz="4" w:space="0" w:color="auto"/>
              <w:bottom w:val="single" w:sz="4" w:space="0" w:color="auto"/>
              <w:right w:val="single" w:sz="4" w:space="0" w:color="auto"/>
            </w:tcBorders>
            <w:shd w:val="clear" w:color="000000" w:fill="FFFFFF"/>
            <w:noWrap/>
            <w:hideMark/>
          </w:tcPr>
          <w:p w:rsidR="003E298F" w:rsidRPr="003E298F" w:rsidRDefault="003E298F" w:rsidP="003E298F">
            <w:pPr>
              <w:rPr>
                <w:rFonts w:ascii="Cambria" w:hAnsi="Cambria" w:cs="Arial"/>
                <w:lang w:val="en-IN" w:eastAsia="en-IN"/>
              </w:rPr>
            </w:pPr>
            <w:r w:rsidRPr="003E298F">
              <w:rPr>
                <w:rFonts w:ascii="Cambria" w:hAnsi="Cambria" w:cs="Arial"/>
                <w:lang w:val="en-IN" w:eastAsia="en-IN"/>
              </w:rPr>
              <w:t>Reasonable Return</w:t>
            </w:r>
          </w:p>
        </w:tc>
        <w:tc>
          <w:tcPr>
            <w:tcW w:w="1460" w:type="dxa"/>
            <w:tcBorders>
              <w:top w:val="nil"/>
              <w:left w:val="nil"/>
              <w:bottom w:val="single" w:sz="4" w:space="0" w:color="auto"/>
              <w:right w:val="single" w:sz="4" w:space="0" w:color="auto"/>
            </w:tcBorders>
            <w:shd w:val="clear" w:color="000000" w:fill="FFFFFF"/>
            <w:hideMark/>
          </w:tcPr>
          <w:p w:rsidR="003E298F" w:rsidRPr="003E298F" w:rsidRDefault="003E298F" w:rsidP="003E298F">
            <w:pPr>
              <w:rPr>
                <w:rFonts w:ascii="Cambria" w:hAnsi="Cambria" w:cs="Arial"/>
                <w:lang w:val="en-IN" w:eastAsia="en-IN"/>
              </w:rPr>
            </w:pPr>
            <w:r w:rsidRPr="003E298F">
              <w:rPr>
                <w:rFonts w:ascii="Cambria" w:hAnsi="Cambria" w:cs="Arial"/>
                <w:lang w:val="en-IN" w:eastAsia="en-IN"/>
              </w:rPr>
              <w:t>Rs Crore</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10.55</w:t>
            </w:r>
          </w:p>
        </w:tc>
        <w:tc>
          <w:tcPr>
            <w:tcW w:w="146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10.55</w:t>
            </w:r>
          </w:p>
        </w:tc>
        <w:tc>
          <w:tcPr>
            <w:tcW w:w="1100" w:type="dxa"/>
            <w:tcBorders>
              <w:top w:val="nil"/>
              <w:left w:val="nil"/>
              <w:bottom w:val="single" w:sz="4" w:space="0" w:color="auto"/>
              <w:right w:val="single" w:sz="4" w:space="0" w:color="auto"/>
            </w:tcBorders>
            <w:shd w:val="clear" w:color="auto" w:fill="auto"/>
            <w:noWrap/>
            <w:vAlign w:val="center"/>
            <w:hideMark/>
          </w:tcPr>
          <w:p w:rsidR="003E298F" w:rsidRPr="003E298F" w:rsidRDefault="003E298F" w:rsidP="003E298F">
            <w:pPr>
              <w:jc w:val="center"/>
              <w:rPr>
                <w:rFonts w:ascii="Arial" w:hAnsi="Arial" w:cs="Arial"/>
                <w:sz w:val="20"/>
                <w:szCs w:val="20"/>
                <w:lang w:val="en-IN" w:eastAsia="en-IN"/>
              </w:rPr>
            </w:pPr>
            <w:r w:rsidRPr="003E298F">
              <w:rPr>
                <w:rFonts w:ascii="Arial" w:hAnsi="Arial" w:cs="Arial"/>
                <w:sz w:val="20"/>
                <w:szCs w:val="20"/>
                <w:lang w:val="en-IN" w:eastAsia="en-IN"/>
              </w:rPr>
              <w:t>0.00</w:t>
            </w:r>
          </w:p>
        </w:tc>
      </w:tr>
      <w:tr w:rsidR="003E298F" w:rsidRPr="003E298F" w:rsidTr="003E298F">
        <w:trPr>
          <w:trHeight w:val="330"/>
        </w:trPr>
        <w:tc>
          <w:tcPr>
            <w:tcW w:w="4320" w:type="dxa"/>
            <w:tcBorders>
              <w:top w:val="nil"/>
              <w:left w:val="single" w:sz="4" w:space="0" w:color="auto"/>
              <w:bottom w:val="single" w:sz="4" w:space="0" w:color="auto"/>
              <w:right w:val="single" w:sz="4" w:space="0" w:color="auto"/>
            </w:tcBorders>
            <w:shd w:val="clear" w:color="000000" w:fill="FFFFFF"/>
            <w:noWrap/>
            <w:hideMark/>
          </w:tcPr>
          <w:p w:rsidR="003E298F" w:rsidRPr="003E298F" w:rsidRDefault="003E298F" w:rsidP="003E298F">
            <w:pPr>
              <w:ind w:firstLineChars="200" w:firstLine="482"/>
              <w:rPr>
                <w:rFonts w:ascii="Cambria" w:hAnsi="Cambria" w:cs="Arial"/>
                <w:b/>
                <w:bCs/>
                <w:lang w:val="en-IN" w:eastAsia="en-IN"/>
              </w:rPr>
            </w:pPr>
            <w:r w:rsidRPr="003E298F">
              <w:rPr>
                <w:rFonts w:ascii="Cambria" w:hAnsi="Cambria" w:cs="Arial"/>
                <w:b/>
                <w:bCs/>
                <w:lang w:val="en-IN" w:eastAsia="en-IN"/>
              </w:rPr>
              <w:t>Excess/(deficit)</w:t>
            </w:r>
          </w:p>
        </w:tc>
        <w:tc>
          <w:tcPr>
            <w:tcW w:w="1460" w:type="dxa"/>
            <w:tcBorders>
              <w:top w:val="nil"/>
              <w:left w:val="nil"/>
              <w:bottom w:val="single" w:sz="4" w:space="0" w:color="auto"/>
              <w:right w:val="single" w:sz="4" w:space="0" w:color="auto"/>
            </w:tcBorders>
            <w:shd w:val="clear" w:color="000000" w:fill="FFFFFF"/>
            <w:noWrap/>
            <w:hideMark/>
          </w:tcPr>
          <w:p w:rsidR="003E298F" w:rsidRPr="003E298F" w:rsidRDefault="003E298F" w:rsidP="003E298F">
            <w:pPr>
              <w:rPr>
                <w:rFonts w:ascii="Cambria" w:hAnsi="Cambria" w:cs="Arial"/>
                <w:b/>
                <w:bCs/>
                <w:lang w:val="en-IN" w:eastAsia="en-IN"/>
              </w:rPr>
            </w:pPr>
            <w:r w:rsidRPr="003E298F">
              <w:rPr>
                <w:rFonts w:ascii="Cambria" w:hAnsi="Cambria" w:cs="Arial"/>
                <w:b/>
                <w:bCs/>
                <w:lang w:val="en-IN" w:eastAsia="en-IN"/>
              </w:rPr>
              <w:t>Rs Crore</w:t>
            </w:r>
          </w:p>
        </w:tc>
        <w:tc>
          <w:tcPr>
            <w:tcW w:w="1460" w:type="dxa"/>
            <w:tcBorders>
              <w:top w:val="nil"/>
              <w:left w:val="nil"/>
              <w:bottom w:val="single" w:sz="8" w:space="0" w:color="auto"/>
              <w:right w:val="single" w:sz="8" w:space="0" w:color="auto"/>
            </w:tcBorders>
            <w:shd w:val="clear" w:color="000000" w:fill="FFFFFF"/>
            <w:noWrap/>
            <w:hideMark/>
          </w:tcPr>
          <w:p w:rsidR="003E298F" w:rsidRPr="003E298F" w:rsidRDefault="003E298F" w:rsidP="003E298F">
            <w:pPr>
              <w:jc w:val="right"/>
              <w:rPr>
                <w:rFonts w:ascii="Cambria" w:hAnsi="Cambria" w:cs="Arial"/>
                <w:b/>
                <w:bCs/>
                <w:sz w:val="22"/>
                <w:szCs w:val="22"/>
                <w:lang w:val="en-IN" w:eastAsia="en-IN"/>
              </w:rPr>
            </w:pPr>
            <w:r w:rsidRPr="003E298F">
              <w:rPr>
                <w:rFonts w:ascii="Cambria" w:hAnsi="Cambria" w:cs="Arial"/>
                <w:b/>
                <w:bCs/>
                <w:sz w:val="22"/>
                <w:szCs w:val="22"/>
                <w:lang w:val="en-IN" w:eastAsia="en-IN"/>
              </w:rPr>
              <w:t>(22.83)</w:t>
            </w:r>
          </w:p>
        </w:tc>
        <w:tc>
          <w:tcPr>
            <w:tcW w:w="1460" w:type="dxa"/>
            <w:tcBorders>
              <w:top w:val="nil"/>
              <w:left w:val="nil"/>
              <w:bottom w:val="single" w:sz="8" w:space="0" w:color="auto"/>
              <w:right w:val="single" w:sz="8" w:space="0" w:color="auto"/>
            </w:tcBorders>
            <w:shd w:val="clear" w:color="000000" w:fill="FFFFFF"/>
            <w:noWrap/>
            <w:hideMark/>
          </w:tcPr>
          <w:p w:rsidR="003E298F" w:rsidRPr="003E298F" w:rsidRDefault="003E298F" w:rsidP="003E298F">
            <w:pPr>
              <w:jc w:val="right"/>
              <w:rPr>
                <w:rFonts w:ascii="Cambria" w:hAnsi="Cambria" w:cs="Arial"/>
                <w:b/>
                <w:bCs/>
                <w:sz w:val="22"/>
                <w:szCs w:val="22"/>
                <w:lang w:val="en-IN" w:eastAsia="en-IN"/>
              </w:rPr>
            </w:pPr>
            <w:r w:rsidRPr="003E298F">
              <w:rPr>
                <w:rFonts w:ascii="Cambria" w:hAnsi="Cambria" w:cs="Arial"/>
                <w:b/>
                <w:bCs/>
                <w:sz w:val="22"/>
                <w:szCs w:val="22"/>
                <w:lang w:val="en-IN" w:eastAsia="en-IN"/>
              </w:rPr>
              <w:t>(347.89)</w:t>
            </w:r>
          </w:p>
        </w:tc>
        <w:tc>
          <w:tcPr>
            <w:tcW w:w="1100" w:type="dxa"/>
            <w:tcBorders>
              <w:top w:val="nil"/>
              <w:left w:val="nil"/>
              <w:bottom w:val="single" w:sz="8" w:space="0" w:color="auto"/>
              <w:right w:val="single" w:sz="8" w:space="0" w:color="auto"/>
            </w:tcBorders>
            <w:shd w:val="clear" w:color="000000" w:fill="FFFFFF"/>
            <w:noWrap/>
            <w:hideMark/>
          </w:tcPr>
          <w:p w:rsidR="003E298F" w:rsidRPr="003E298F" w:rsidRDefault="003E298F" w:rsidP="003E298F">
            <w:pPr>
              <w:jc w:val="right"/>
              <w:rPr>
                <w:rFonts w:ascii="Cambria" w:hAnsi="Cambria" w:cs="Arial"/>
                <w:b/>
                <w:bCs/>
                <w:sz w:val="22"/>
                <w:szCs w:val="22"/>
                <w:lang w:val="en-IN" w:eastAsia="en-IN"/>
              </w:rPr>
            </w:pPr>
            <w:r w:rsidRPr="003E298F">
              <w:rPr>
                <w:rFonts w:ascii="Cambria" w:hAnsi="Cambria" w:cs="Arial"/>
                <w:b/>
                <w:bCs/>
                <w:sz w:val="22"/>
                <w:szCs w:val="22"/>
                <w:lang w:val="en-IN" w:eastAsia="en-IN"/>
              </w:rPr>
              <w:t>(325.06)</w:t>
            </w:r>
          </w:p>
        </w:tc>
      </w:tr>
    </w:tbl>
    <w:p w:rsidR="00580DE0" w:rsidRDefault="00580DE0" w:rsidP="00A21B9D">
      <w:pPr>
        <w:spacing w:line="360" w:lineRule="auto"/>
        <w:ind w:left="6480" w:firstLine="720"/>
        <w:jc w:val="both"/>
        <w:rPr>
          <w:rFonts w:ascii="Cambria" w:hAnsi="Cambria" w:cs="Arial"/>
        </w:rPr>
      </w:pPr>
    </w:p>
    <w:p w:rsidR="004276A0" w:rsidRPr="00D43831" w:rsidRDefault="004276A0" w:rsidP="004276A0">
      <w:pPr>
        <w:spacing w:line="360" w:lineRule="auto"/>
        <w:jc w:val="both"/>
        <w:rPr>
          <w:rFonts w:ascii="Arial" w:hAnsi="Arial" w:cs="Arial"/>
          <w:sz w:val="22"/>
          <w:szCs w:val="22"/>
        </w:rPr>
      </w:pPr>
      <w:r w:rsidRPr="00D43831">
        <w:rPr>
          <w:rFonts w:ascii="Arial" w:hAnsi="Arial" w:cs="Arial"/>
          <w:sz w:val="22"/>
          <w:szCs w:val="22"/>
        </w:rPr>
        <w:t>As it is well known that the Licensee including the other distribution licensee have suffered heavily in non-relaisation of notional sales assumed by the Hon’ble Commission.</w:t>
      </w:r>
    </w:p>
    <w:p w:rsidR="004276A0" w:rsidRPr="00BF0E9D" w:rsidRDefault="004276A0" w:rsidP="00CF66A5">
      <w:pPr>
        <w:pStyle w:val="Heading1"/>
        <w:numPr>
          <w:ilvl w:val="1"/>
          <w:numId w:val="48"/>
        </w:numPr>
        <w:spacing w:line="360" w:lineRule="auto"/>
        <w:ind w:left="1440"/>
        <w:jc w:val="both"/>
        <w:rPr>
          <w:rFonts w:ascii="Cambria" w:hAnsi="Cambria"/>
          <w:sz w:val="24"/>
          <w:szCs w:val="24"/>
        </w:rPr>
      </w:pPr>
      <w:bookmarkStart w:id="59" w:name="_Toc278829405"/>
      <w:bookmarkStart w:id="60" w:name="_Toc310354805"/>
      <w:bookmarkStart w:id="61" w:name="_Toc404940182"/>
      <w:r w:rsidRPr="00BF0E9D">
        <w:rPr>
          <w:rFonts w:ascii="Cambria" w:hAnsi="Cambria"/>
          <w:sz w:val="24"/>
          <w:szCs w:val="24"/>
        </w:rPr>
        <w:t>Amortisation of Regulatory Asset</w:t>
      </w:r>
      <w:bookmarkEnd w:id="59"/>
      <w:bookmarkEnd w:id="60"/>
      <w:bookmarkEnd w:id="61"/>
    </w:p>
    <w:p w:rsidR="00F80724" w:rsidRPr="00D43831" w:rsidRDefault="00F80724" w:rsidP="00D43831">
      <w:pPr>
        <w:spacing w:line="360" w:lineRule="auto"/>
        <w:jc w:val="both"/>
        <w:rPr>
          <w:rFonts w:ascii="Arial" w:hAnsi="Arial" w:cs="Arial"/>
          <w:bCs/>
          <w:kern w:val="32"/>
          <w:sz w:val="22"/>
          <w:szCs w:val="22"/>
        </w:rPr>
      </w:pPr>
      <w:r w:rsidRPr="00D43831">
        <w:rPr>
          <w:rFonts w:ascii="Arial" w:hAnsi="Arial" w:cs="Arial"/>
          <w:bCs/>
          <w:kern w:val="32"/>
          <w:sz w:val="22"/>
          <w:szCs w:val="22"/>
        </w:rPr>
        <w:t xml:space="preserve">The Petitioner humbly requests the Hon’ble Commission to recognize, acknowledge and accept the Regulatory Assets claimed by the Petitioner and allow amortisation of Regulatory Asset through recovery of tariff in next Business Plan period to service the non-asset bearing liabilities. </w:t>
      </w:r>
    </w:p>
    <w:p w:rsidR="00F80724" w:rsidRPr="00D43831" w:rsidRDefault="00F80724" w:rsidP="00D43831">
      <w:pPr>
        <w:spacing w:line="360" w:lineRule="auto"/>
        <w:jc w:val="both"/>
        <w:rPr>
          <w:rFonts w:ascii="Arial" w:hAnsi="Arial" w:cs="Arial"/>
          <w:bCs/>
          <w:kern w:val="32"/>
          <w:sz w:val="22"/>
          <w:szCs w:val="22"/>
        </w:rPr>
      </w:pPr>
      <w:r w:rsidRPr="00D43831">
        <w:rPr>
          <w:rFonts w:ascii="Arial" w:hAnsi="Arial" w:cs="Arial"/>
          <w:bCs/>
          <w:kern w:val="32"/>
          <w:sz w:val="22"/>
          <w:szCs w:val="22"/>
        </w:rPr>
        <w:t>Based on the Hon’ble Commission’s ruling, the Petitioner understands that the Hon’ble Commission would admit the servicing cost of such securitised liabilities (i.e. interest payable) and repayment of such securitised liabilities as a component of subsequent ARRs.</w:t>
      </w:r>
    </w:p>
    <w:p w:rsidR="00331B7A" w:rsidRDefault="00331B7A" w:rsidP="00D43831">
      <w:pPr>
        <w:spacing w:line="360" w:lineRule="auto"/>
        <w:jc w:val="both"/>
        <w:rPr>
          <w:rFonts w:ascii="Arial" w:hAnsi="Arial" w:cs="Arial"/>
          <w:bCs/>
          <w:kern w:val="32"/>
          <w:sz w:val="22"/>
          <w:szCs w:val="22"/>
        </w:rPr>
      </w:pPr>
    </w:p>
    <w:p w:rsidR="00F80724" w:rsidRPr="00D43831" w:rsidRDefault="00F80724" w:rsidP="00D43831">
      <w:pPr>
        <w:spacing w:line="360" w:lineRule="auto"/>
        <w:jc w:val="both"/>
        <w:rPr>
          <w:rFonts w:ascii="Arial" w:hAnsi="Arial" w:cs="Arial"/>
          <w:bCs/>
          <w:kern w:val="32"/>
          <w:sz w:val="22"/>
          <w:szCs w:val="22"/>
        </w:rPr>
      </w:pPr>
      <w:r w:rsidRPr="00D43831">
        <w:rPr>
          <w:rFonts w:ascii="Arial" w:hAnsi="Arial" w:cs="Arial"/>
          <w:bCs/>
          <w:kern w:val="32"/>
          <w:sz w:val="22"/>
          <w:szCs w:val="22"/>
        </w:rPr>
        <w:t>The Petitioner has only included the amortization of Regulatory Assets detailed below.</w:t>
      </w:r>
    </w:p>
    <w:p w:rsidR="0070016E" w:rsidRPr="00BF0E9D" w:rsidRDefault="0070016E" w:rsidP="0070016E">
      <w:pPr>
        <w:pStyle w:val="BodyText"/>
        <w:spacing w:after="0" w:line="360" w:lineRule="auto"/>
        <w:jc w:val="both"/>
        <w:rPr>
          <w:rFonts w:ascii="Cambria" w:hAnsi="Cambria" w:cs="Arial"/>
        </w:rPr>
      </w:pPr>
    </w:p>
    <w:tbl>
      <w:tblPr>
        <w:tblW w:w="8657" w:type="dxa"/>
        <w:tblInd w:w="98" w:type="dxa"/>
        <w:tblLayout w:type="fixed"/>
        <w:tblLook w:val="04A0"/>
      </w:tblPr>
      <w:tblGrid>
        <w:gridCol w:w="4405"/>
        <w:gridCol w:w="2085"/>
        <w:gridCol w:w="2167"/>
      </w:tblGrid>
      <w:tr w:rsidR="0070016E" w:rsidRPr="00331B7A" w:rsidTr="00AE0BAB">
        <w:trPr>
          <w:trHeight w:val="610"/>
          <w:tblHeader/>
        </w:trPr>
        <w:tc>
          <w:tcPr>
            <w:tcW w:w="4405" w:type="dxa"/>
            <w:tcBorders>
              <w:top w:val="single" w:sz="8" w:space="0" w:color="auto"/>
              <w:left w:val="single" w:sz="8" w:space="0" w:color="auto"/>
              <w:bottom w:val="single" w:sz="4" w:space="0" w:color="auto"/>
              <w:right w:val="single" w:sz="4" w:space="0" w:color="auto"/>
            </w:tcBorders>
            <w:shd w:val="clear" w:color="auto" w:fill="auto"/>
            <w:noWrap/>
            <w:vAlign w:val="bottom"/>
          </w:tcPr>
          <w:p w:rsidR="0070016E" w:rsidRPr="00331B7A" w:rsidRDefault="0070016E" w:rsidP="00AE0BAB">
            <w:pPr>
              <w:spacing w:line="360" w:lineRule="auto"/>
              <w:rPr>
                <w:rFonts w:ascii="Arial" w:hAnsi="Arial" w:cs="Arial"/>
                <w:b/>
                <w:bCs/>
                <w:sz w:val="22"/>
                <w:szCs w:val="22"/>
              </w:rPr>
            </w:pPr>
            <w:r w:rsidRPr="00331B7A">
              <w:rPr>
                <w:rFonts w:ascii="Arial" w:hAnsi="Arial" w:cs="Arial"/>
                <w:b/>
                <w:bCs/>
                <w:sz w:val="22"/>
                <w:szCs w:val="22"/>
              </w:rPr>
              <w:t>In Rs Cr </w:t>
            </w:r>
          </w:p>
        </w:tc>
        <w:tc>
          <w:tcPr>
            <w:tcW w:w="2085" w:type="dxa"/>
            <w:tcBorders>
              <w:top w:val="single" w:sz="8" w:space="0" w:color="auto"/>
              <w:left w:val="nil"/>
              <w:bottom w:val="single" w:sz="4" w:space="0" w:color="auto"/>
              <w:right w:val="single" w:sz="8" w:space="0" w:color="auto"/>
            </w:tcBorders>
            <w:shd w:val="clear" w:color="auto" w:fill="auto"/>
          </w:tcPr>
          <w:p w:rsidR="0070016E" w:rsidRPr="00331B7A" w:rsidRDefault="0070016E" w:rsidP="00AE0BAB">
            <w:pPr>
              <w:spacing w:line="360" w:lineRule="auto"/>
              <w:rPr>
                <w:rFonts w:ascii="Arial" w:hAnsi="Arial" w:cs="Arial"/>
                <w:b/>
                <w:bCs/>
                <w:sz w:val="22"/>
                <w:szCs w:val="22"/>
              </w:rPr>
            </w:pPr>
            <w:r w:rsidRPr="00331B7A">
              <w:rPr>
                <w:rFonts w:ascii="Arial" w:hAnsi="Arial" w:cs="Arial"/>
                <w:b/>
                <w:bCs/>
                <w:sz w:val="22"/>
                <w:szCs w:val="22"/>
              </w:rPr>
              <w:t>Total Regulatory Asset</w:t>
            </w:r>
          </w:p>
        </w:tc>
        <w:tc>
          <w:tcPr>
            <w:tcW w:w="2167" w:type="dxa"/>
            <w:tcBorders>
              <w:top w:val="single" w:sz="8" w:space="0" w:color="auto"/>
              <w:left w:val="single" w:sz="4" w:space="0" w:color="auto"/>
              <w:bottom w:val="single" w:sz="4" w:space="0" w:color="auto"/>
              <w:right w:val="single" w:sz="8" w:space="0" w:color="auto"/>
            </w:tcBorders>
            <w:shd w:val="clear" w:color="auto" w:fill="auto"/>
            <w:vAlign w:val="center"/>
          </w:tcPr>
          <w:p w:rsidR="0070016E" w:rsidRPr="00331B7A" w:rsidRDefault="0070016E" w:rsidP="00AE0BAB">
            <w:pPr>
              <w:spacing w:line="360" w:lineRule="auto"/>
              <w:rPr>
                <w:rFonts w:ascii="Arial" w:hAnsi="Arial" w:cs="Arial"/>
                <w:b/>
                <w:bCs/>
                <w:sz w:val="22"/>
                <w:szCs w:val="22"/>
              </w:rPr>
            </w:pPr>
            <w:r w:rsidRPr="00331B7A">
              <w:rPr>
                <w:rFonts w:ascii="Arial" w:hAnsi="Arial" w:cs="Arial"/>
                <w:b/>
                <w:bCs/>
                <w:sz w:val="22"/>
                <w:szCs w:val="22"/>
              </w:rPr>
              <w:t>Amortisation of Regulatory Asset</w:t>
            </w:r>
          </w:p>
        </w:tc>
      </w:tr>
      <w:tr w:rsidR="0070016E" w:rsidRPr="00331B7A" w:rsidTr="00AE0BAB">
        <w:trPr>
          <w:trHeight w:val="315"/>
        </w:trPr>
        <w:tc>
          <w:tcPr>
            <w:tcW w:w="4405" w:type="dxa"/>
            <w:tcBorders>
              <w:top w:val="nil"/>
              <w:left w:val="single" w:sz="8" w:space="0" w:color="auto"/>
              <w:bottom w:val="single" w:sz="4" w:space="0" w:color="auto"/>
              <w:right w:val="single" w:sz="4" w:space="0" w:color="auto"/>
            </w:tcBorders>
            <w:shd w:val="clear" w:color="auto" w:fill="auto"/>
            <w:noWrap/>
            <w:vAlign w:val="bottom"/>
          </w:tcPr>
          <w:p w:rsidR="0070016E" w:rsidRPr="00331B7A" w:rsidRDefault="0070016E" w:rsidP="00AE0BAB">
            <w:pPr>
              <w:spacing w:line="360" w:lineRule="auto"/>
              <w:rPr>
                <w:rFonts w:ascii="Arial" w:hAnsi="Arial" w:cs="Arial"/>
                <w:sz w:val="22"/>
                <w:szCs w:val="22"/>
              </w:rPr>
            </w:pPr>
            <w:r w:rsidRPr="00331B7A">
              <w:rPr>
                <w:rFonts w:ascii="Arial" w:hAnsi="Arial" w:cs="Arial"/>
                <w:sz w:val="22"/>
                <w:szCs w:val="22"/>
              </w:rPr>
              <w:t>Regulatory Asset-Till 13-14 (1/10 th)</w:t>
            </w:r>
          </w:p>
        </w:tc>
        <w:tc>
          <w:tcPr>
            <w:tcW w:w="2085" w:type="dxa"/>
            <w:tcBorders>
              <w:top w:val="nil"/>
              <w:left w:val="nil"/>
              <w:bottom w:val="single" w:sz="4" w:space="0" w:color="auto"/>
              <w:right w:val="single" w:sz="4" w:space="0" w:color="auto"/>
            </w:tcBorders>
            <w:shd w:val="clear" w:color="auto" w:fill="auto"/>
            <w:noWrap/>
            <w:vAlign w:val="bottom"/>
          </w:tcPr>
          <w:p w:rsidR="0070016E" w:rsidRPr="00331B7A" w:rsidRDefault="0070016E" w:rsidP="00AE0BAB">
            <w:pPr>
              <w:spacing w:line="360" w:lineRule="auto"/>
              <w:jc w:val="center"/>
              <w:rPr>
                <w:rFonts w:ascii="Arial" w:hAnsi="Arial" w:cs="Arial"/>
                <w:sz w:val="22"/>
                <w:szCs w:val="22"/>
              </w:rPr>
            </w:pPr>
            <w:r w:rsidRPr="00331B7A">
              <w:rPr>
                <w:rFonts w:ascii="Arial" w:hAnsi="Arial" w:cs="Arial"/>
                <w:sz w:val="22"/>
                <w:szCs w:val="22"/>
              </w:rPr>
              <w:t>818.06</w:t>
            </w:r>
          </w:p>
        </w:tc>
        <w:tc>
          <w:tcPr>
            <w:tcW w:w="2167" w:type="dxa"/>
            <w:tcBorders>
              <w:top w:val="nil"/>
              <w:left w:val="nil"/>
              <w:bottom w:val="single" w:sz="4" w:space="0" w:color="auto"/>
              <w:right w:val="single" w:sz="8" w:space="0" w:color="auto"/>
            </w:tcBorders>
            <w:shd w:val="clear" w:color="auto" w:fill="auto"/>
            <w:noWrap/>
            <w:vAlign w:val="bottom"/>
          </w:tcPr>
          <w:p w:rsidR="0070016E" w:rsidRPr="00331B7A" w:rsidRDefault="000533BA" w:rsidP="00AE0BAB">
            <w:pPr>
              <w:spacing w:line="360" w:lineRule="auto"/>
              <w:jc w:val="center"/>
              <w:rPr>
                <w:rFonts w:ascii="Arial" w:hAnsi="Arial" w:cs="Arial"/>
                <w:sz w:val="22"/>
                <w:szCs w:val="22"/>
              </w:rPr>
            </w:pPr>
            <w:r w:rsidRPr="00331B7A">
              <w:rPr>
                <w:rFonts w:ascii="Arial" w:hAnsi="Arial" w:cs="Arial"/>
                <w:sz w:val="22"/>
                <w:szCs w:val="22"/>
              </w:rPr>
              <w:t>81.81</w:t>
            </w:r>
          </w:p>
        </w:tc>
      </w:tr>
      <w:tr w:rsidR="0070016E" w:rsidRPr="00331B7A" w:rsidTr="00AE0BAB">
        <w:trPr>
          <w:trHeight w:val="255"/>
        </w:trPr>
        <w:tc>
          <w:tcPr>
            <w:tcW w:w="4405" w:type="dxa"/>
            <w:tcBorders>
              <w:top w:val="nil"/>
              <w:left w:val="single" w:sz="8" w:space="0" w:color="auto"/>
              <w:bottom w:val="single" w:sz="4" w:space="0" w:color="auto"/>
              <w:right w:val="single" w:sz="4" w:space="0" w:color="auto"/>
            </w:tcBorders>
            <w:shd w:val="clear" w:color="auto" w:fill="auto"/>
            <w:noWrap/>
            <w:vAlign w:val="bottom"/>
          </w:tcPr>
          <w:p w:rsidR="0070016E" w:rsidRPr="00331B7A" w:rsidRDefault="0070016E" w:rsidP="00AE0BAB">
            <w:pPr>
              <w:spacing w:line="360" w:lineRule="auto"/>
              <w:rPr>
                <w:rFonts w:ascii="Arial" w:hAnsi="Arial" w:cs="Arial"/>
                <w:sz w:val="22"/>
                <w:szCs w:val="22"/>
              </w:rPr>
            </w:pPr>
            <w:r w:rsidRPr="00331B7A">
              <w:rPr>
                <w:rFonts w:ascii="Arial" w:hAnsi="Arial" w:cs="Arial"/>
                <w:sz w:val="22"/>
                <w:szCs w:val="22"/>
              </w:rPr>
              <w:t>Truing up for FY 14-15 (1/3rd)</w:t>
            </w:r>
          </w:p>
        </w:tc>
        <w:tc>
          <w:tcPr>
            <w:tcW w:w="2085" w:type="dxa"/>
            <w:tcBorders>
              <w:top w:val="nil"/>
              <w:left w:val="nil"/>
              <w:bottom w:val="single" w:sz="4" w:space="0" w:color="auto"/>
              <w:right w:val="single" w:sz="4" w:space="0" w:color="auto"/>
            </w:tcBorders>
            <w:shd w:val="clear" w:color="auto" w:fill="auto"/>
            <w:noWrap/>
            <w:vAlign w:val="bottom"/>
          </w:tcPr>
          <w:p w:rsidR="0070016E" w:rsidRPr="00331B7A" w:rsidRDefault="003E298F" w:rsidP="003E298F">
            <w:pPr>
              <w:spacing w:line="360" w:lineRule="auto"/>
              <w:jc w:val="center"/>
              <w:rPr>
                <w:rFonts w:ascii="Arial" w:hAnsi="Arial" w:cs="Arial"/>
                <w:sz w:val="22"/>
                <w:szCs w:val="22"/>
              </w:rPr>
            </w:pPr>
            <w:r>
              <w:rPr>
                <w:rFonts w:ascii="Arial" w:hAnsi="Arial" w:cs="Arial"/>
                <w:sz w:val="22"/>
                <w:szCs w:val="22"/>
              </w:rPr>
              <w:t>347</w:t>
            </w:r>
            <w:r w:rsidR="003E6E07" w:rsidRPr="00331B7A">
              <w:rPr>
                <w:rFonts w:ascii="Arial" w:hAnsi="Arial" w:cs="Arial"/>
                <w:sz w:val="22"/>
                <w:szCs w:val="22"/>
              </w:rPr>
              <w:t>.</w:t>
            </w:r>
            <w:r>
              <w:rPr>
                <w:rFonts w:ascii="Arial" w:hAnsi="Arial" w:cs="Arial"/>
                <w:sz w:val="22"/>
                <w:szCs w:val="22"/>
              </w:rPr>
              <w:t>89</w:t>
            </w:r>
          </w:p>
        </w:tc>
        <w:tc>
          <w:tcPr>
            <w:tcW w:w="2167" w:type="dxa"/>
            <w:tcBorders>
              <w:top w:val="nil"/>
              <w:left w:val="nil"/>
              <w:bottom w:val="single" w:sz="4" w:space="0" w:color="auto"/>
              <w:right w:val="single" w:sz="8" w:space="0" w:color="auto"/>
            </w:tcBorders>
            <w:shd w:val="clear" w:color="auto" w:fill="auto"/>
            <w:noWrap/>
            <w:vAlign w:val="bottom"/>
          </w:tcPr>
          <w:p w:rsidR="0070016E" w:rsidRPr="00331B7A" w:rsidRDefault="003E298F" w:rsidP="003E298F">
            <w:pPr>
              <w:spacing w:line="360" w:lineRule="auto"/>
              <w:jc w:val="center"/>
              <w:rPr>
                <w:rFonts w:ascii="Arial" w:hAnsi="Arial" w:cs="Arial"/>
                <w:sz w:val="22"/>
                <w:szCs w:val="22"/>
              </w:rPr>
            </w:pPr>
            <w:r>
              <w:rPr>
                <w:rFonts w:ascii="Arial" w:hAnsi="Arial" w:cs="Arial"/>
                <w:sz w:val="22"/>
                <w:szCs w:val="22"/>
              </w:rPr>
              <w:t>115</w:t>
            </w:r>
            <w:r w:rsidR="003E6E07" w:rsidRPr="00331B7A">
              <w:rPr>
                <w:rFonts w:ascii="Arial" w:hAnsi="Arial" w:cs="Arial"/>
                <w:sz w:val="22"/>
                <w:szCs w:val="22"/>
              </w:rPr>
              <w:t>.</w:t>
            </w:r>
            <w:r>
              <w:rPr>
                <w:rFonts w:ascii="Arial" w:hAnsi="Arial" w:cs="Arial"/>
                <w:sz w:val="22"/>
                <w:szCs w:val="22"/>
              </w:rPr>
              <w:t>96</w:t>
            </w:r>
          </w:p>
        </w:tc>
      </w:tr>
      <w:tr w:rsidR="0070016E" w:rsidRPr="00331B7A" w:rsidTr="00AE0BAB">
        <w:trPr>
          <w:trHeight w:val="270"/>
        </w:trPr>
        <w:tc>
          <w:tcPr>
            <w:tcW w:w="4405" w:type="dxa"/>
            <w:tcBorders>
              <w:top w:val="nil"/>
              <w:left w:val="single" w:sz="8" w:space="0" w:color="auto"/>
              <w:bottom w:val="single" w:sz="8" w:space="0" w:color="auto"/>
              <w:right w:val="single" w:sz="4" w:space="0" w:color="auto"/>
            </w:tcBorders>
            <w:shd w:val="clear" w:color="auto" w:fill="auto"/>
            <w:noWrap/>
            <w:vAlign w:val="bottom"/>
          </w:tcPr>
          <w:p w:rsidR="0070016E" w:rsidRPr="00331B7A" w:rsidRDefault="0070016E" w:rsidP="00AE0BAB">
            <w:pPr>
              <w:spacing w:line="360" w:lineRule="auto"/>
              <w:rPr>
                <w:rFonts w:ascii="Arial" w:hAnsi="Arial" w:cs="Arial"/>
                <w:b/>
                <w:bCs/>
                <w:sz w:val="22"/>
                <w:szCs w:val="22"/>
              </w:rPr>
            </w:pPr>
            <w:r w:rsidRPr="00331B7A">
              <w:rPr>
                <w:rFonts w:ascii="Arial" w:hAnsi="Arial" w:cs="Arial"/>
                <w:b/>
                <w:bCs/>
                <w:sz w:val="22"/>
                <w:szCs w:val="22"/>
              </w:rPr>
              <w:t>Total</w:t>
            </w:r>
          </w:p>
        </w:tc>
        <w:tc>
          <w:tcPr>
            <w:tcW w:w="2085" w:type="dxa"/>
            <w:tcBorders>
              <w:top w:val="nil"/>
              <w:left w:val="nil"/>
              <w:bottom w:val="single" w:sz="8" w:space="0" w:color="auto"/>
              <w:right w:val="single" w:sz="4" w:space="0" w:color="auto"/>
            </w:tcBorders>
            <w:shd w:val="clear" w:color="auto" w:fill="auto"/>
            <w:noWrap/>
            <w:vAlign w:val="bottom"/>
          </w:tcPr>
          <w:p w:rsidR="0070016E" w:rsidRPr="00331B7A" w:rsidRDefault="0070016E" w:rsidP="00AE0BAB">
            <w:pPr>
              <w:spacing w:line="360" w:lineRule="auto"/>
              <w:jc w:val="center"/>
              <w:rPr>
                <w:rFonts w:ascii="Arial" w:hAnsi="Arial" w:cs="Arial"/>
                <w:b/>
                <w:bCs/>
                <w:sz w:val="22"/>
                <w:szCs w:val="22"/>
              </w:rPr>
            </w:pPr>
          </w:p>
        </w:tc>
        <w:tc>
          <w:tcPr>
            <w:tcW w:w="2167" w:type="dxa"/>
            <w:tcBorders>
              <w:top w:val="nil"/>
              <w:left w:val="nil"/>
              <w:bottom w:val="single" w:sz="8" w:space="0" w:color="auto"/>
              <w:right w:val="single" w:sz="8" w:space="0" w:color="auto"/>
            </w:tcBorders>
            <w:shd w:val="clear" w:color="auto" w:fill="auto"/>
            <w:noWrap/>
            <w:vAlign w:val="bottom"/>
          </w:tcPr>
          <w:p w:rsidR="0070016E" w:rsidRPr="00331B7A" w:rsidRDefault="003E298F" w:rsidP="003E298F">
            <w:pPr>
              <w:spacing w:line="360" w:lineRule="auto"/>
              <w:jc w:val="center"/>
              <w:rPr>
                <w:rFonts w:ascii="Arial" w:hAnsi="Arial" w:cs="Arial"/>
                <w:b/>
                <w:bCs/>
                <w:sz w:val="22"/>
                <w:szCs w:val="22"/>
              </w:rPr>
            </w:pPr>
            <w:r>
              <w:rPr>
                <w:rFonts w:ascii="Arial" w:hAnsi="Arial" w:cs="Arial"/>
                <w:b/>
                <w:bCs/>
                <w:sz w:val="22"/>
                <w:szCs w:val="22"/>
              </w:rPr>
              <w:t>197</w:t>
            </w:r>
            <w:r w:rsidR="003E6E07" w:rsidRPr="00331B7A">
              <w:rPr>
                <w:rFonts w:ascii="Arial" w:hAnsi="Arial" w:cs="Arial"/>
                <w:b/>
                <w:bCs/>
                <w:sz w:val="22"/>
                <w:szCs w:val="22"/>
              </w:rPr>
              <w:t>.</w:t>
            </w:r>
            <w:r>
              <w:rPr>
                <w:rFonts w:ascii="Arial" w:hAnsi="Arial" w:cs="Arial"/>
                <w:b/>
                <w:bCs/>
                <w:sz w:val="22"/>
                <w:szCs w:val="22"/>
              </w:rPr>
              <w:t>77</w:t>
            </w:r>
          </w:p>
        </w:tc>
      </w:tr>
    </w:tbl>
    <w:p w:rsidR="007A4152" w:rsidRPr="007A4152" w:rsidRDefault="007A4152" w:rsidP="007A4152">
      <w:pPr>
        <w:pStyle w:val="ListParagraph"/>
        <w:spacing w:after="0" w:line="360" w:lineRule="auto"/>
        <w:ind w:left="480"/>
        <w:jc w:val="both"/>
        <w:rPr>
          <w:rFonts w:ascii="Arial" w:hAnsi="Arial" w:cs="Arial"/>
        </w:rPr>
      </w:pPr>
      <w:bookmarkStart w:id="62" w:name="_Toc404784147"/>
      <w:r w:rsidRPr="007A4152">
        <w:rPr>
          <w:rFonts w:ascii="Arial" w:hAnsi="Arial" w:cs="Arial"/>
        </w:rPr>
        <w:t>The Hon’ble Commission has in its Affidavit and/or submissions (Written submission dated 15.09.2014 before Hon’ble ATE in Appeal no. 154, 156 and 157 of 2014) estimated an impact of about Rs.4200 Cr to be recovered by the Discoms if the directions of this Hon'ble Tribunal were implemented. Without prejudice to its contentions of the said figure the DISCOMs have already submitted are agreeable to an amortization of Rs.4200 Cr as a Regulatory Assets subject to the outcome of the Supreme Court Appeals.</w:t>
      </w:r>
    </w:p>
    <w:p w:rsidR="007A4152" w:rsidRPr="007A4152" w:rsidRDefault="007A4152" w:rsidP="007A4152">
      <w:pPr>
        <w:pStyle w:val="ListParagraph"/>
        <w:spacing w:after="0" w:line="360" w:lineRule="auto"/>
        <w:ind w:left="480"/>
        <w:jc w:val="both"/>
        <w:rPr>
          <w:rFonts w:ascii="Arial" w:hAnsi="Arial" w:cs="Arial"/>
        </w:rPr>
      </w:pPr>
    </w:p>
    <w:p w:rsidR="007A4152" w:rsidRPr="007A4152" w:rsidRDefault="007A4152" w:rsidP="007A4152">
      <w:pPr>
        <w:pStyle w:val="ListParagraph"/>
        <w:spacing w:before="610" w:after="0" w:line="360" w:lineRule="auto"/>
        <w:ind w:left="480"/>
        <w:jc w:val="both"/>
        <w:rPr>
          <w:rFonts w:ascii="Arial" w:hAnsi="Arial" w:cs="Arial"/>
        </w:rPr>
      </w:pPr>
      <w:r w:rsidRPr="007A4152">
        <w:rPr>
          <w:rFonts w:ascii="Arial" w:hAnsi="Arial" w:cs="Arial"/>
        </w:rPr>
        <w:t xml:space="preserve">It is an undisputed fact that the DISCOMs have a cumulative loss of Rs.4750 Cr (audited) upto FY 2013-14 as against a cumulative return on equity of Rs. 365 Cr which the </w:t>
      </w:r>
      <w:r w:rsidRPr="007A4152">
        <w:rPr>
          <w:rFonts w:ascii="Arial" w:hAnsi="Arial" w:cs="Arial"/>
        </w:rPr>
        <w:lastRenderedPageBreak/>
        <w:t>Discoms were entitled to earn during this period. Hence there is an undisputed under recovery of Rs.5115 Cr for the 3 Discoms which have already been submitted before the Hon’ble Commission for kind consideration.</w:t>
      </w:r>
    </w:p>
    <w:p w:rsidR="007A4152" w:rsidRPr="007A4152" w:rsidRDefault="007A4152" w:rsidP="007A4152">
      <w:pPr>
        <w:pStyle w:val="ListParagraph"/>
        <w:spacing w:before="610" w:line="360" w:lineRule="auto"/>
        <w:ind w:left="480"/>
        <w:jc w:val="both"/>
        <w:rPr>
          <w:rFonts w:ascii="Arial" w:hAnsi="Arial" w:cs="Arial"/>
        </w:rPr>
      </w:pPr>
    </w:p>
    <w:p w:rsidR="007A4152" w:rsidRPr="007A4152" w:rsidRDefault="007A4152" w:rsidP="007A4152">
      <w:pPr>
        <w:pStyle w:val="ListParagraph"/>
        <w:spacing w:before="610" w:line="360" w:lineRule="auto"/>
        <w:ind w:left="480"/>
        <w:jc w:val="both"/>
        <w:rPr>
          <w:rFonts w:ascii="Arial" w:hAnsi="Arial" w:cs="Arial"/>
        </w:rPr>
      </w:pPr>
      <w:r w:rsidRPr="007A4152">
        <w:rPr>
          <w:rFonts w:ascii="Arial" w:hAnsi="Arial" w:cs="Arial"/>
        </w:rPr>
        <w:t>The Hon’ble OERC estimated recoverable Regulatory Assets of the 3 Discoms in the ratio of cumulative loss would be as under :</w:t>
      </w:r>
    </w:p>
    <w:p w:rsidR="007A4152" w:rsidRPr="007A4152" w:rsidRDefault="007A4152" w:rsidP="007A4152">
      <w:pPr>
        <w:pStyle w:val="ListParagraph"/>
        <w:spacing w:before="610" w:line="240" w:lineRule="auto"/>
        <w:ind w:left="480"/>
        <w:jc w:val="both"/>
        <w:rPr>
          <w:rFonts w:ascii="Arial" w:hAnsi="Arial" w:cs="Arial"/>
        </w:rPr>
      </w:pPr>
    </w:p>
    <w:tbl>
      <w:tblPr>
        <w:tblpPr w:leftFromText="180" w:rightFromText="180" w:vertAnchor="text" w:horzAnchor="margin" w:tblpXSpec="center" w:tblpY="7"/>
        <w:tblW w:w="8547"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732"/>
        <w:gridCol w:w="3022"/>
        <w:gridCol w:w="3793"/>
      </w:tblGrid>
      <w:tr w:rsidR="007A4152" w:rsidRPr="007A4152" w:rsidTr="00BC5318">
        <w:trPr>
          <w:trHeight w:val="221"/>
          <w:tblCellSpacing w:w="0" w:type="dxa"/>
        </w:trPr>
        <w:tc>
          <w:tcPr>
            <w:tcW w:w="1732" w:type="dxa"/>
            <w:vAlign w:val="bottom"/>
            <w:hideMark/>
          </w:tcPr>
          <w:p w:rsidR="007A4152" w:rsidRPr="007A4152" w:rsidRDefault="007A4152" w:rsidP="00BC5318">
            <w:pPr>
              <w:spacing w:line="16" w:lineRule="atLeast"/>
              <w:rPr>
                <w:rFonts w:ascii="Arial" w:hAnsi="Arial" w:cs="Arial"/>
                <w:sz w:val="22"/>
                <w:szCs w:val="22"/>
              </w:rPr>
            </w:pPr>
            <w:r w:rsidRPr="007A4152">
              <w:rPr>
                <w:rFonts w:ascii="Arial" w:hAnsi="Arial" w:cs="Arial"/>
                <w:sz w:val="22"/>
                <w:szCs w:val="22"/>
              </w:rPr>
              <w:t> </w:t>
            </w:r>
          </w:p>
        </w:tc>
        <w:tc>
          <w:tcPr>
            <w:tcW w:w="3022" w:type="dxa"/>
            <w:vAlign w:val="bottom"/>
            <w:hideMark/>
          </w:tcPr>
          <w:p w:rsidR="007A4152" w:rsidRPr="007A4152" w:rsidRDefault="007A4152" w:rsidP="00BC5318">
            <w:pPr>
              <w:spacing w:line="16" w:lineRule="atLeast"/>
              <w:rPr>
                <w:rFonts w:ascii="Arial" w:hAnsi="Arial" w:cs="Arial"/>
                <w:sz w:val="22"/>
                <w:szCs w:val="22"/>
              </w:rPr>
            </w:pPr>
            <w:r w:rsidRPr="007A4152">
              <w:rPr>
                <w:rFonts w:ascii="Arial" w:hAnsi="Arial" w:cs="Arial"/>
                <w:sz w:val="22"/>
                <w:szCs w:val="22"/>
              </w:rPr>
              <w:t> </w:t>
            </w:r>
          </w:p>
        </w:tc>
        <w:tc>
          <w:tcPr>
            <w:tcW w:w="3793" w:type="dxa"/>
            <w:vAlign w:val="bottom"/>
            <w:hideMark/>
          </w:tcPr>
          <w:p w:rsidR="007A4152" w:rsidRPr="007A4152" w:rsidRDefault="007A4152" w:rsidP="00BC5318">
            <w:pPr>
              <w:spacing w:line="282" w:lineRule="atLeast"/>
              <w:rPr>
                <w:rFonts w:ascii="Arial" w:hAnsi="Arial" w:cs="Arial"/>
                <w:sz w:val="22"/>
                <w:szCs w:val="22"/>
              </w:rPr>
            </w:pPr>
            <w:r w:rsidRPr="007A4152">
              <w:rPr>
                <w:rFonts w:ascii="Arial" w:hAnsi="Arial" w:cs="Arial"/>
                <w:sz w:val="22"/>
                <w:szCs w:val="22"/>
              </w:rPr>
              <w:t>Rs. In Crore.</w:t>
            </w:r>
          </w:p>
        </w:tc>
      </w:tr>
      <w:tr w:rsidR="007A4152" w:rsidRPr="007A4152" w:rsidTr="00BC5318">
        <w:trPr>
          <w:trHeight w:val="315"/>
          <w:tblCellSpacing w:w="0" w:type="dxa"/>
        </w:trPr>
        <w:tc>
          <w:tcPr>
            <w:tcW w:w="1732" w:type="dxa"/>
            <w:vAlign w:val="bottom"/>
            <w:hideMark/>
          </w:tcPr>
          <w:p w:rsidR="007A4152" w:rsidRPr="007A4152" w:rsidRDefault="007A4152" w:rsidP="00BC5318">
            <w:pPr>
              <w:spacing w:line="16" w:lineRule="atLeast"/>
              <w:rPr>
                <w:rFonts w:ascii="Arial" w:hAnsi="Arial" w:cs="Arial"/>
                <w:sz w:val="22"/>
                <w:szCs w:val="22"/>
              </w:rPr>
            </w:pPr>
            <w:r w:rsidRPr="007A4152">
              <w:rPr>
                <w:rFonts w:ascii="Arial" w:hAnsi="Arial" w:cs="Arial"/>
                <w:sz w:val="22"/>
                <w:szCs w:val="22"/>
              </w:rPr>
              <w:t> </w:t>
            </w:r>
          </w:p>
        </w:tc>
        <w:tc>
          <w:tcPr>
            <w:tcW w:w="3022" w:type="dxa"/>
            <w:vAlign w:val="bottom"/>
            <w:hideMark/>
          </w:tcPr>
          <w:p w:rsidR="007A4152" w:rsidRPr="007A4152" w:rsidRDefault="007A4152" w:rsidP="00BC5318">
            <w:pPr>
              <w:spacing w:line="282" w:lineRule="atLeast"/>
              <w:rPr>
                <w:rFonts w:ascii="Arial" w:hAnsi="Arial" w:cs="Arial"/>
                <w:sz w:val="22"/>
                <w:szCs w:val="22"/>
              </w:rPr>
            </w:pPr>
            <w:r w:rsidRPr="007A4152">
              <w:rPr>
                <w:rFonts w:ascii="Arial" w:hAnsi="Arial" w:cs="Arial"/>
                <w:sz w:val="22"/>
                <w:szCs w:val="22"/>
              </w:rPr>
              <w:t>Cumulative Loss</w:t>
            </w:r>
          </w:p>
        </w:tc>
        <w:tc>
          <w:tcPr>
            <w:tcW w:w="3793" w:type="dxa"/>
            <w:vAlign w:val="bottom"/>
            <w:hideMark/>
          </w:tcPr>
          <w:p w:rsidR="007A4152" w:rsidRPr="007A4152" w:rsidRDefault="007A4152" w:rsidP="00BC5318">
            <w:pPr>
              <w:spacing w:line="282" w:lineRule="atLeast"/>
              <w:rPr>
                <w:rFonts w:ascii="Arial" w:hAnsi="Arial" w:cs="Arial"/>
                <w:sz w:val="22"/>
                <w:szCs w:val="22"/>
              </w:rPr>
            </w:pPr>
            <w:r w:rsidRPr="007A4152">
              <w:rPr>
                <w:rFonts w:ascii="Arial" w:hAnsi="Arial" w:cs="Arial"/>
                <w:sz w:val="22"/>
                <w:szCs w:val="22"/>
              </w:rPr>
              <w:t>Regulatory Assets in Ratio</w:t>
            </w:r>
          </w:p>
        </w:tc>
      </w:tr>
      <w:tr w:rsidR="007A4152" w:rsidRPr="007A4152" w:rsidTr="00BC5318">
        <w:trPr>
          <w:trHeight w:val="221"/>
          <w:tblCellSpacing w:w="0" w:type="dxa"/>
        </w:trPr>
        <w:tc>
          <w:tcPr>
            <w:tcW w:w="1732" w:type="dxa"/>
            <w:vAlign w:val="bottom"/>
            <w:hideMark/>
          </w:tcPr>
          <w:p w:rsidR="007A4152" w:rsidRPr="007A4152" w:rsidRDefault="007A4152" w:rsidP="00BC5318">
            <w:pPr>
              <w:spacing w:line="16" w:lineRule="atLeast"/>
              <w:rPr>
                <w:rFonts w:ascii="Arial" w:hAnsi="Arial" w:cs="Arial"/>
                <w:sz w:val="22"/>
                <w:szCs w:val="22"/>
              </w:rPr>
            </w:pPr>
            <w:r w:rsidRPr="007A4152">
              <w:rPr>
                <w:rFonts w:ascii="Arial" w:hAnsi="Arial" w:cs="Arial"/>
                <w:sz w:val="22"/>
                <w:szCs w:val="22"/>
              </w:rPr>
              <w:t> </w:t>
            </w:r>
          </w:p>
        </w:tc>
        <w:tc>
          <w:tcPr>
            <w:tcW w:w="3022" w:type="dxa"/>
            <w:vAlign w:val="bottom"/>
            <w:hideMark/>
          </w:tcPr>
          <w:p w:rsidR="007A4152" w:rsidRPr="007A4152" w:rsidRDefault="007A4152" w:rsidP="00BC5318">
            <w:pPr>
              <w:spacing w:line="16" w:lineRule="atLeast"/>
              <w:rPr>
                <w:rFonts w:ascii="Arial" w:hAnsi="Arial" w:cs="Arial"/>
                <w:sz w:val="22"/>
                <w:szCs w:val="22"/>
              </w:rPr>
            </w:pPr>
            <w:r w:rsidRPr="007A4152">
              <w:rPr>
                <w:rFonts w:ascii="Arial" w:hAnsi="Arial" w:cs="Arial"/>
                <w:sz w:val="22"/>
                <w:szCs w:val="22"/>
              </w:rPr>
              <w:t> </w:t>
            </w:r>
          </w:p>
        </w:tc>
        <w:tc>
          <w:tcPr>
            <w:tcW w:w="3793" w:type="dxa"/>
            <w:vAlign w:val="bottom"/>
            <w:hideMark/>
          </w:tcPr>
          <w:p w:rsidR="007A4152" w:rsidRPr="007A4152" w:rsidRDefault="007A4152" w:rsidP="00BC5318">
            <w:pPr>
              <w:spacing w:line="282" w:lineRule="atLeast"/>
              <w:rPr>
                <w:rFonts w:ascii="Arial" w:hAnsi="Arial" w:cs="Arial"/>
                <w:sz w:val="22"/>
                <w:szCs w:val="22"/>
              </w:rPr>
            </w:pPr>
            <w:r w:rsidRPr="007A4152">
              <w:rPr>
                <w:rFonts w:ascii="Arial" w:hAnsi="Arial" w:cs="Arial"/>
                <w:sz w:val="22"/>
                <w:szCs w:val="22"/>
              </w:rPr>
              <w:t>of Losses.</w:t>
            </w:r>
          </w:p>
        </w:tc>
      </w:tr>
      <w:tr w:rsidR="007A4152" w:rsidRPr="007A4152" w:rsidTr="00BC5318">
        <w:trPr>
          <w:trHeight w:val="303"/>
          <w:tblCellSpacing w:w="0" w:type="dxa"/>
        </w:trPr>
        <w:tc>
          <w:tcPr>
            <w:tcW w:w="1732" w:type="dxa"/>
            <w:vAlign w:val="bottom"/>
            <w:hideMark/>
          </w:tcPr>
          <w:p w:rsidR="007A4152" w:rsidRPr="007A4152" w:rsidRDefault="007A4152" w:rsidP="00BC5318">
            <w:pPr>
              <w:spacing w:line="282" w:lineRule="atLeast"/>
              <w:rPr>
                <w:rFonts w:ascii="Arial" w:hAnsi="Arial" w:cs="Arial"/>
                <w:sz w:val="22"/>
                <w:szCs w:val="22"/>
              </w:rPr>
            </w:pPr>
            <w:r w:rsidRPr="007A4152">
              <w:rPr>
                <w:rFonts w:ascii="Arial" w:hAnsi="Arial" w:cs="Arial"/>
                <w:sz w:val="22"/>
                <w:szCs w:val="22"/>
              </w:rPr>
              <w:t>NESCO</w:t>
            </w:r>
          </w:p>
        </w:tc>
        <w:tc>
          <w:tcPr>
            <w:tcW w:w="3022" w:type="dxa"/>
            <w:vAlign w:val="bottom"/>
            <w:hideMark/>
          </w:tcPr>
          <w:p w:rsidR="007A4152" w:rsidRPr="007A4152" w:rsidRDefault="007A4152" w:rsidP="00BC5318">
            <w:pPr>
              <w:spacing w:line="282" w:lineRule="atLeast"/>
              <w:rPr>
                <w:rFonts w:ascii="Arial" w:hAnsi="Arial" w:cs="Arial"/>
                <w:sz w:val="22"/>
                <w:szCs w:val="22"/>
              </w:rPr>
            </w:pPr>
            <w:r w:rsidRPr="007A4152">
              <w:rPr>
                <w:rFonts w:ascii="Arial" w:hAnsi="Arial" w:cs="Arial"/>
                <w:sz w:val="22"/>
                <w:szCs w:val="22"/>
              </w:rPr>
              <w:t>1773</w:t>
            </w:r>
          </w:p>
        </w:tc>
        <w:tc>
          <w:tcPr>
            <w:tcW w:w="3793" w:type="dxa"/>
            <w:vAlign w:val="bottom"/>
            <w:hideMark/>
          </w:tcPr>
          <w:p w:rsidR="007A4152" w:rsidRPr="007A4152" w:rsidRDefault="007A4152" w:rsidP="00BC5318">
            <w:pPr>
              <w:spacing w:line="282" w:lineRule="atLeast"/>
              <w:rPr>
                <w:rFonts w:ascii="Arial" w:hAnsi="Arial" w:cs="Arial"/>
                <w:sz w:val="22"/>
                <w:szCs w:val="22"/>
              </w:rPr>
            </w:pPr>
            <w:r w:rsidRPr="007A4152">
              <w:rPr>
                <w:rFonts w:ascii="Arial" w:hAnsi="Arial" w:cs="Arial"/>
                <w:sz w:val="22"/>
                <w:szCs w:val="22"/>
              </w:rPr>
              <w:t>4200 x (1773/4750) =1568</w:t>
            </w:r>
          </w:p>
        </w:tc>
      </w:tr>
      <w:tr w:rsidR="007A4152" w:rsidRPr="007A4152" w:rsidTr="00BC5318">
        <w:trPr>
          <w:trHeight w:val="303"/>
          <w:tblCellSpacing w:w="0" w:type="dxa"/>
        </w:trPr>
        <w:tc>
          <w:tcPr>
            <w:tcW w:w="1732" w:type="dxa"/>
            <w:vAlign w:val="bottom"/>
            <w:hideMark/>
          </w:tcPr>
          <w:p w:rsidR="007A4152" w:rsidRPr="007A4152" w:rsidRDefault="007A4152" w:rsidP="00BC5318">
            <w:pPr>
              <w:spacing w:line="282" w:lineRule="atLeast"/>
              <w:rPr>
                <w:rFonts w:ascii="Arial" w:hAnsi="Arial" w:cs="Arial"/>
                <w:sz w:val="22"/>
                <w:szCs w:val="22"/>
              </w:rPr>
            </w:pPr>
            <w:r w:rsidRPr="007A4152">
              <w:rPr>
                <w:rFonts w:ascii="Arial" w:hAnsi="Arial" w:cs="Arial"/>
                <w:sz w:val="22"/>
                <w:szCs w:val="22"/>
              </w:rPr>
              <w:t>WESCO</w:t>
            </w:r>
          </w:p>
        </w:tc>
        <w:tc>
          <w:tcPr>
            <w:tcW w:w="3022" w:type="dxa"/>
            <w:vAlign w:val="bottom"/>
            <w:hideMark/>
          </w:tcPr>
          <w:p w:rsidR="007A4152" w:rsidRPr="007A4152" w:rsidRDefault="007A4152" w:rsidP="00BC5318">
            <w:pPr>
              <w:spacing w:line="282" w:lineRule="atLeast"/>
              <w:rPr>
                <w:rFonts w:ascii="Arial" w:hAnsi="Arial" w:cs="Arial"/>
                <w:sz w:val="22"/>
                <w:szCs w:val="22"/>
              </w:rPr>
            </w:pPr>
            <w:r w:rsidRPr="007A4152">
              <w:rPr>
                <w:rFonts w:ascii="Arial" w:hAnsi="Arial" w:cs="Arial"/>
                <w:sz w:val="22"/>
                <w:szCs w:val="22"/>
              </w:rPr>
              <w:t>1617</w:t>
            </w:r>
          </w:p>
        </w:tc>
        <w:tc>
          <w:tcPr>
            <w:tcW w:w="3793" w:type="dxa"/>
            <w:vAlign w:val="bottom"/>
            <w:hideMark/>
          </w:tcPr>
          <w:p w:rsidR="007A4152" w:rsidRPr="007A4152" w:rsidRDefault="007A4152" w:rsidP="00BC5318">
            <w:pPr>
              <w:spacing w:line="282" w:lineRule="atLeast"/>
              <w:rPr>
                <w:rFonts w:ascii="Arial" w:hAnsi="Arial" w:cs="Arial"/>
                <w:sz w:val="22"/>
                <w:szCs w:val="22"/>
              </w:rPr>
            </w:pPr>
            <w:r w:rsidRPr="007A4152">
              <w:rPr>
                <w:rFonts w:ascii="Arial" w:hAnsi="Arial" w:cs="Arial"/>
                <w:sz w:val="22"/>
                <w:szCs w:val="22"/>
              </w:rPr>
              <w:t>4200 x (1617/4750) =1430</w:t>
            </w:r>
          </w:p>
        </w:tc>
      </w:tr>
      <w:tr w:rsidR="007A4152" w:rsidRPr="007A4152" w:rsidTr="00BC5318">
        <w:trPr>
          <w:trHeight w:val="315"/>
          <w:tblCellSpacing w:w="0" w:type="dxa"/>
        </w:trPr>
        <w:tc>
          <w:tcPr>
            <w:tcW w:w="1732" w:type="dxa"/>
            <w:vAlign w:val="bottom"/>
            <w:hideMark/>
          </w:tcPr>
          <w:p w:rsidR="007A4152" w:rsidRPr="007A4152" w:rsidRDefault="007A4152" w:rsidP="00BC5318">
            <w:pPr>
              <w:spacing w:line="282" w:lineRule="atLeast"/>
              <w:rPr>
                <w:rFonts w:ascii="Arial" w:hAnsi="Arial" w:cs="Arial"/>
                <w:sz w:val="22"/>
                <w:szCs w:val="22"/>
              </w:rPr>
            </w:pPr>
            <w:r w:rsidRPr="007A4152">
              <w:rPr>
                <w:rFonts w:ascii="Arial" w:hAnsi="Arial" w:cs="Arial"/>
                <w:sz w:val="22"/>
                <w:szCs w:val="22"/>
              </w:rPr>
              <w:t>SOUTHCO</w:t>
            </w:r>
          </w:p>
        </w:tc>
        <w:tc>
          <w:tcPr>
            <w:tcW w:w="3022" w:type="dxa"/>
            <w:vAlign w:val="bottom"/>
            <w:hideMark/>
          </w:tcPr>
          <w:p w:rsidR="007A4152" w:rsidRPr="007A4152" w:rsidRDefault="007A4152" w:rsidP="00BC5318">
            <w:pPr>
              <w:spacing w:line="282" w:lineRule="atLeast"/>
              <w:rPr>
                <w:rFonts w:ascii="Arial" w:hAnsi="Arial" w:cs="Arial"/>
                <w:sz w:val="22"/>
                <w:szCs w:val="22"/>
              </w:rPr>
            </w:pPr>
            <w:r w:rsidRPr="007A4152">
              <w:rPr>
                <w:rFonts w:ascii="Arial" w:hAnsi="Arial" w:cs="Arial"/>
                <w:sz w:val="22"/>
                <w:szCs w:val="22"/>
              </w:rPr>
              <w:t>1360</w:t>
            </w:r>
          </w:p>
        </w:tc>
        <w:tc>
          <w:tcPr>
            <w:tcW w:w="3793" w:type="dxa"/>
            <w:vAlign w:val="bottom"/>
            <w:hideMark/>
          </w:tcPr>
          <w:p w:rsidR="007A4152" w:rsidRPr="007A4152" w:rsidRDefault="007A4152" w:rsidP="00BC5318">
            <w:pPr>
              <w:spacing w:line="282" w:lineRule="atLeast"/>
              <w:rPr>
                <w:rFonts w:ascii="Arial" w:hAnsi="Arial" w:cs="Arial"/>
                <w:sz w:val="22"/>
                <w:szCs w:val="22"/>
              </w:rPr>
            </w:pPr>
            <w:r w:rsidRPr="007A4152">
              <w:rPr>
                <w:rFonts w:ascii="Arial" w:hAnsi="Arial" w:cs="Arial"/>
                <w:sz w:val="22"/>
                <w:szCs w:val="22"/>
              </w:rPr>
              <w:t>4200x (1360/4750) =1202</w:t>
            </w:r>
          </w:p>
        </w:tc>
      </w:tr>
      <w:tr w:rsidR="007A4152" w:rsidRPr="007A4152" w:rsidTr="00BC5318">
        <w:trPr>
          <w:trHeight w:val="315"/>
          <w:tblCellSpacing w:w="0" w:type="dxa"/>
        </w:trPr>
        <w:tc>
          <w:tcPr>
            <w:tcW w:w="1732" w:type="dxa"/>
            <w:vAlign w:val="bottom"/>
            <w:hideMark/>
          </w:tcPr>
          <w:p w:rsidR="007A4152" w:rsidRPr="007A4152" w:rsidRDefault="007A4152" w:rsidP="00BC5318">
            <w:pPr>
              <w:spacing w:line="282" w:lineRule="atLeast"/>
              <w:rPr>
                <w:rFonts w:ascii="Arial" w:hAnsi="Arial" w:cs="Arial"/>
                <w:sz w:val="22"/>
                <w:szCs w:val="22"/>
              </w:rPr>
            </w:pPr>
            <w:r w:rsidRPr="007A4152">
              <w:rPr>
                <w:rFonts w:ascii="Arial" w:hAnsi="Arial" w:cs="Arial"/>
                <w:sz w:val="22"/>
                <w:szCs w:val="22"/>
              </w:rPr>
              <w:t>TOTAL</w:t>
            </w:r>
          </w:p>
        </w:tc>
        <w:tc>
          <w:tcPr>
            <w:tcW w:w="3022" w:type="dxa"/>
            <w:vAlign w:val="bottom"/>
            <w:hideMark/>
          </w:tcPr>
          <w:p w:rsidR="007A4152" w:rsidRPr="007A4152" w:rsidRDefault="007A4152" w:rsidP="00BC5318">
            <w:pPr>
              <w:spacing w:line="282" w:lineRule="atLeast"/>
              <w:rPr>
                <w:rFonts w:ascii="Arial" w:hAnsi="Arial" w:cs="Arial"/>
                <w:sz w:val="22"/>
                <w:szCs w:val="22"/>
              </w:rPr>
            </w:pPr>
            <w:r w:rsidRPr="007A4152">
              <w:rPr>
                <w:rFonts w:ascii="Arial" w:hAnsi="Arial" w:cs="Arial"/>
                <w:sz w:val="22"/>
                <w:szCs w:val="22"/>
              </w:rPr>
              <w:t>4750</w:t>
            </w:r>
          </w:p>
        </w:tc>
        <w:tc>
          <w:tcPr>
            <w:tcW w:w="3793" w:type="dxa"/>
            <w:vAlign w:val="bottom"/>
            <w:hideMark/>
          </w:tcPr>
          <w:p w:rsidR="007A4152" w:rsidRPr="007A4152" w:rsidRDefault="007A4152" w:rsidP="00BC5318">
            <w:pPr>
              <w:spacing w:line="282" w:lineRule="atLeast"/>
              <w:rPr>
                <w:rFonts w:ascii="Arial" w:hAnsi="Arial" w:cs="Arial"/>
                <w:sz w:val="22"/>
                <w:szCs w:val="22"/>
              </w:rPr>
            </w:pPr>
            <w:r w:rsidRPr="007A4152">
              <w:rPr>
                <w:rFonts w:ascii="Arial" w:hAnsi="Arial" w:cs="Arial"/>
                <w:sz w:val="22"/>
                <w:szCs w:val="22"/>
              </w:rPr>
              <w:t>4200</w:t>
            </w:r>
          </w:p>
        </w:tc>
      </w:tr>
    </w:tbl>
    <w:p w:rsidR="007A4152" w:rsidRPr="007A4152" w:rsidRDefault="007A4152" w:rsidP="007A4152">
      <w:pPr>
        <w:pStyle w:val="ListParagraph"/>
        <w:spacing w:before="704" w:line="360" w:lineRule="auto"/>
        <w:ind w:left="480"/>
        <w:jc w:val="both"/>
        <w:rPr>
          <w:rFonts w:ascii="Arial" w:hAnsi="Arial" w:cs="Arial"/>
        </w:rPr>
      </w:pPr>
      <w:r w:rsidRPr="007A4152">
        <w:rPr>
          <w:rFonts w:ascii="Arial" w:hAnsi="Arial" w:cs="Arial"/>
        </w:rPr>
        <w:t>On the figures of annual sale projected for recovery by 3 Discoms, the recovery of Regulatory Assets over a period of three years as per the tariff policy would be as under :</w:t>
      </w:r>
    </w:p>
    <w:tbl>
      <w:tblPr>
        <w:tblpPr w:leftFromText="180" w:rightFromText="180" w:vertAnchor="text" w:horzAnchor="margin" w:tblpXSpec="right" w:tblpY="1132"/>
        <w:tblW w:w="9005"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985"/>
        <w:gridCol w:w="1260"/>
        <w:gridCol w:w="1530"/>
        <w:gridCol w:w="1350"/>
        <w:gridCol w:w="2880"/>
      </w:tblGrid>
      <w:tr w:rsidR="007A4152" w:rsidRPr="007A4152" w:rsidTr="00904FBD">
        <w:trPr>
          <w:trHeight w:val="297"/>
          <w:tblCellSpacing w:w="0" w:type="dxa"/>
        </w:trPr>
        <w:tc>
          <w:tcPr>
            <w:tcW w:w="1985" w:type="dxa"/>
            <w:vAlign w:val="bottom"/>
            <w:hideMark/>
          </w:tcPr>
          <w:p w:rsidR="007A4152" w:rsidRPr="007A4152" w:rsidRDefault="007A4152" w:rsidP="00BC5318">
            <w:pPr>
              <w:spacing w:line="282" w:lineRule="atLeast"/>
              <w:rPr>
                <w:rFonts w:ascii="Arial" w:hAnsi="Arial" w:cs="Arial"/>
                <w:sz w:val="22"/>
                <w:szCs w:val="22"/>
              </w:rPr>
            </w:pPr>
            <w:r w:rsidRPr="007A4152">
              <w:rPr>
                <w:rFonts w:ascii="Arial" w:hAnsi="Arial" w:cs="Arial"/>
                <w:sz w:val="22"/>
                <w:szCs w:val="22"/>
              </w:rPr>
              <w:t>Discom</w:t>
            </w:r>
          </w:p>
        </w:tc>
        <w:tc>
          <w:tcPr>
            <w:tcW w:w="1260" w:type="dxa"/>
            <w:vAlign w:val="bottom"/>
            <w:hideMark/>
          </w:tcPr>
          <w:p w:rsidR="007A4152" w:rsidRPr="007A4152" w:rsidRDefault="007A4152" w:rsidP="00BC5318">
            <w:pPr>
              <w:spacing w:line="282" w:lineRule="atLeast"/>
              <w:rPr>
                <w:rFonts w:ascii="Arial" w:hAnsi="Arial" w:cs="Arial"/>
                <w:sz w:val="22"/>
                <w:szCs w:val="22"/>
              </w:rPr>
            </w:pPr>
            <w:r w:rsidRPr="007A4152">
              <w:rPr>
                <w:rFonts w:ascii="Arial" w:hAnsi="Arial" w:cs="Arial"/>
                <w:sz w:val="22"/>
                <w:szCs w:val="22"/>
              </w:rPr>
              <w:t>Sales</w:t>
            </w:r>
          </w:p>
        </w:tc>
        <w:tc>
          <w:tcPr>
            <w:tcW w:w="1530" w:type="dxa"/>
            <w:vAlign w:val="bottom"/>
            <w:hideMark/>
          </w:tcPr>
          <w:p w:rsidR="007A4152" w:rsidRPr="007A4152" w:rsidRDefault="007A4152" w:rsidP="00BC5318">
            <w:pPr>
              <w:spacing w:line="282" w:lineRule="atLeast"/>
              <w:rPr>
                <w:rFonts w:ascii="Arial" w:hAnsi="Arial" w:cs="Arial"/>
                <w:sz w:val="22"/>
                <w:szCs w:val="22"/>
              </w:rPr>
            </w:pPr>
            <w:r w:rsidRPr="007A4152">
              <w:rPr>
                <w:rFonts w:ascii="Arial" w:hAnsi="Arial" w:cs="Arial"/>
                <w:sz w:val="22"/>
                <w:szCs w:val="22"/>
              </w:rPr>
              <w:t>RA in Rs Cr</w:t>
            </w:r>
          </w:p>
        </w:tc>
        <w:tc>
          <w:tcPr>
            <w:tcW w:w="1350" w:type="dxa"/>
            <w:vAlign w:val="bottom"/>
            <w:hideMark/>
          </w:tcPr>
          <w:p w:rsidR="007A4152" w:rsidRPr="007A4152" w:rsidRDefault="007A4152" w:rsidP="00BC5318">
            <w:pPr>
              <w:spacing w:line="282" w:lineRule="atLeast"/>
              <w:rPr>
                <w:rFonts w:ascii="Arial" w:hAnsi="Arial" w:cs="Arial"/>
                <w:sz w:val="22"/>
                <w:szCs w:val="22"/>
              </w:rPr>
            </w:pPr>
            <w:r w:rsidRPr="007A4152">
              <w:rPr>
                <w:rFonts w:ascii="Arial" w:hAnsi="Arial" w:cs="Arial"/>
                <w:sz w:val="22"/>
                <w:szCs w:val="22"/>
              </w:rPr>
              <w:t>P/U for 3 yrs</w:t>
            </w:r>
          </w:p>
        </w:tc>
        <w:tc>
          <w:tcPr>
            <w:tcW w:w="2880" w:type="dxa"/>
            <w:vAlign w:val="bottom"/>
            <w:hideMark/>
          </w:tcPr>
          <w:p w:rsidR="007A4152" w:rsidRPr="007A4152" w:rsidRDefault="007A4152" w:rsidP="00BC5318">
            <w:pPr>
              <w:spacing w:line="282" w:lineRule="atLeast"/>
              <w:rPr>
                <w:rFonts w:ascii="Arial" w:hAnsi="Arial" w:cs="Arial"/>
                <w:sz w:val="22"/>
                <w:szCs w:val="22"/>
              </w:rPr>
            </w:pPr>
            <w:r w:rsidRPr="007A4152">
              <w:rPr>
                <w:rFonts w:ascii="Arial" w:hAnsi="Arial" w:cs="Arial"/>
                <w:sz w:val="22"/>
                <w:szCs w:val="22"/>
              </w:rPr>
              <w:t>Percentage on average realization 450 p/u</w:t>
            </w:r>
          </w:p>
        </w:tc>
      </w:tr>
      <w:tr w:rsidR="007A4152" w:rsidRPr="007A4152" w:rsidTr="00904FBD">
        <w:trPr>
          <w:trHeight w:val="423"/>
          <w:tblCellSpacing w:w="0" w:type="dxa"/>
        </w:trPr>
        <w:tc>
          <w:tcPr>
            <w:tcW w:w="1985" w:type="dxa"/>
            <w:vAlign w:val="bottom"/>
            <w:hideMark/>
          </w:tcPr>
          <w:p w:rsidR="007A4152" w:rsidRPr="007A4152" w:rsidRDefault="007A4152" w:rsidP="00904FBD">
            <w:pPr>
              <w:spacing w:line="282" w:lineRule="atLeast"/>
              <w:jc w:val="center"/>
              <w:rPr>
                <w:rFonts w:ascii="Arial" w:hAnsi="Arial" w:cs="Arial"/>
                <w:sz w:val="22"/>
                <w:szCs w:val="22"/>
              </w:rPr>
            </w:pPr>
            <w:r w:rsidRPr="007A4152">
              <w:rPr>
                <w:rFonts w:ascii="Arial" w:hAnsi="Arial" w:cs="Arial"/>
                <w:sz w:val="22"/>
                <w:szCs w:val="22"/>
              </w:rPr>
              <w:t>1</w:t>
            </w:r>
          </w:p>
        </w:tc>
        <w:tc>
          <w:tcPr>
            <w:tcW w:w="1260" w:type="dxa"/>
            <w:vAlign w:val="bottom"/>
            <w:hideMark/>
          </w:tcPr>
          <w:p w:rsidR="007A4152" w:rsidRPr="007A4152" w:rsidRDefault="007A4152" w:rsidP="00904FBD">
            <w:pPr>
              <w:spacing w:line="282" w:lineRule="atLeast"/>
              <w:jc w:val="center"/>
              <w:rPr>
                <w:rFonts w:ascii="Arial" w:hAnsi="Arial" w:cs="Arial"/>
                <w:sz w:val="22"/>
                <w:szCs w:val="22"/>
              </w:rPr>
            </w:pPr>
            <w:r w:rsidRPr="007A4152">
              <w:rPr>
                <w:rFonts w:ascii="Arial" w:hAnsi="Arial" w:cs="Arial"/>
                <w:sz w:val="22"/>
                <w:szCs w:val="22"/>
              </w:rPr>
              <w:t>2</w:t>
            </w:r>
          </w:p>
        </w:tc>
        <w:tc>
          <w:tcPr>
            <w:tcW w:w="1530" w:type="dxa"/>
            <w:vAlign w:val="bottom"/>
            <w:hideMark/>
          </w:tcPr>
          <w:p w:rsidR="007A4152" w:rsidRPr="007A4152" w:rsidRDefault="007A4152" w:rsidP="00904FBD">
            <w:pPr>
              <w:spacing w:line="282" w:lineRule="atLeast"/>
              <w:jc w:val="center"/>
              <w:rPr>
                <w:rFonts w:ascii="Arial" w:hAnsi="Arial" w:cs="Arial"/>
                <w:sz w:val="22"/>
                <w:szCs w:val="22"/>
              </w:rPr>
            </w:pPr>
            <w:r w:rsidRPr="007A4152">
              <w:rPr>
                <w:rFonts w:ascii="Arial" w:hAnsi="Arial" w:cs="Arial"/>
                <w:sz w:val="22"/>
                <w:szCs w:val="22"/>
              </w:rPr>
              <w:t>3</w:t>
            </w:r>
          </w:p>
        </w:tc>
        <w:tc>
          <w:tcPr>
            <w:tcW w:w="1350" w:type="dxa"/>
            <w:vAlign w:val="bottom"/>
            <w:hideMark/>
          </w:tcPr>
          <w:p w:rsidR="007A4152" w:rsidRPr="007A4152" w:rsidRDefault="007A4152" w:rsidP="00904FBD">
            <w:pPr>
              <w:spacing w:line="282" w:lineRule="atLeast"/>
              <w:jc w:val="center"/>
              <w:rPr>
                <w:rFonts w:ascii="Arial" w:hAnsi="Arial" w:cs="Arial"/>
                <w:sz w:val="22"/>
                <w:szCs w:val="22"/>
              </w:rPr>
            </w:pPr>
            <w:r w:rsidRPr="007A4152">
              <w:rPr>
                <w:rFonts w:ascii="Arial" w:hAnsi="Arial" w:cs="Arial"/>
                <w:sz w:val="22"/>
                <w:szCs w:val="22"/>
              </w:rPr>
              <w:t>4 (3/2)/3</w:t>
            </w:r>
          </w:p>
        </w:tc>
        <w:tc>
          <w:tcPr>
            <w:tcW w:w="2880" w:type="dxa"/>
            <w:vAlign w:val="bottom"/>
            <w:hideMark/>
          </w:tcPr>
          <w:p w:rsidR="007A4152" w:rsidRPr="007A4152" w:rsidRDefault="007A4152" w:rsidP="00BC5318">
            <w:pPr>
              <w:spacing w:line="16" w:lineRule="atLeast"/>
              <w:rPr>
                <w:rFonts w:ascii="Arial" w:hAnsi="Arial" w:cs="Arial"/>
                <w:sz w:val="22"/>
                <w:szCs w:val="22"/>
              </w:rPr>
            </w:pPr>
            <w:r w:rsidRPr="007A4152">
              <w:rPr>
                <w:rFonts w:ascii="Arial" w:hAnsi="Arial" w:cs="Arial"/>
                <w:sz w:val="22"/>
                <w:szCs w:val="22"/>
              </w:rPr>
              <w:t> </w:t>
            </w:r>
          </w:p>
        </w:tc>
      </w:tr>
      <w:tr w:rsidR="007A4152" w:rsidRPr="007A4152" w:rsidTr="00904FBD">
        <w:trPr>
          <w:trHeight w:val="423"/>
          <w:tblCellSpacing w:w="0" w:type="dxa"/>
        </w:trPr>
        <w:tc>
          <w:tcPr>
            <w:tcW w:w="1985" w:type="dxa"/>
            <w:vAlign w:val="center"/>
            <w:hideMark/>
          </w:tcPr>
          <w:p w:rsidR="007A4152" w:rsidRPr="00904FBD" w:rsidRDefault="007A4152" w:rsidP="00904FBD">
            <w:pPr>
              <w:spacing w:line="282" w:lineRule="atLeast"/>
              <w:rPr>
                <w:rFonts w:ascii="Arial" w:hAnsi="Arial" w:cs="Arial"/>
                <w:b/>
                <w:sz w:val="22"/>
                <w:szCs w:val="22"/>
              </w:rPr>
            </w:pPr>
            <w:r w:rsidRPr="00904FBD">
              <w:rPr>
                <w:rFonts w:ascii="Arial" w:hAnsi="Arial" w:cs="Arial"/>
                <w:b/>
                <w:sz w:val="22"/>
                <w:szCs w:val="22"/>
              </w:rPr>
              <w:t>NESCO</w:t>
            </w:r>
          </w:p>
        </w:tc>
        <w:tc>
          <w:tcPr>
            <w:tcW w:w="1260" w:type="dxa"/>
            <w:vAlign w:val="center"/>
            <w:hideMark/>
          </w:tcPr>
          <w:p w:rsidR="007A4152" w:rsidRPr="00904FBD" w:rsidRDefault="007A4152" w:rsidP="00BC5318">
            <w:pPr>
              <w:spacing w:line="282" w:lineRule="atLeast"/>
              <w:jc w:val="center"/>
              <w:rPr>
                <w:rFonts w:ascii="Arial" w:hAnsi="Arial" w:cs="Arial"/>
                <w:b/>
                <w:sz w:val="22"/>
                <w:szCs w:val="22"/>
              </w:rPr>
            </w:pPr>
            <w:r w:rsidRPr="00904FBD">
              <w:rPr>
                <w:rFonts w:ascii="Arial" w:hAnsi="Arial" w:cs="Arial"/>
                <w:b/>
                <w:sz w:val="22"/>
                <w:szCs w:val="22"/>
              </w:rPr>
              <w:t>4352</w:t>
            </w:r>
          </w:p>
        </w:tc>
        <w:tc>
          <w:tcPr>
            <w:tcW w:w="1530" w:type="dxa"/>
            <w:vAlign w:val="center"/>
            <w:hideMark/>
          </w:tcPr>
          <w:p w:rsidR="007A4152" w:rsidRPr="00904FBD" w:rsidRDefault="007A4152" w:rsidP="00BC5318">
            <w:pPr>
              <w:spacing w:line="282" w:lineRule="atLeast"/>
              <w:jc w:val="center"/>
              <w:rPr>
                <w:rFonts w:ascii="Arial" w:hAnsi="Arial" w:cs="Arial"/>
                <w:b/>
                <w:sz w:val="22"/>
                <w:szCs w:val="22"/>
              </w:rPr>
            </w:pPr>
            <w:r w:rsidRPr="00904FBD">
              <w:rPr>
                <w:rFonts w:ascii="Arial" w:hAnsi="Arial" w:cs="Arial"/>
                <w:b/>
                <w:sz w:val="22"/>
                <w:szCs w:val="22"/>
              </w:rPr>
              <w:t>1568</w:t>
            </w:r>
          </w:p>
        </w:tc>
        <w:tc>
          <w:tcPr>
            <w:tcW w:w="1350" w:type="dxa"/>
            <w:vAlign w:val="center"/>
            <w:hideMark/>
          </w:tcPr>
          <w:p w:rsidR="007A4152" w:rsidRPr="00904FBD" w:rsidRDefault="007A4152" w:rsidP="00BC5318">
            <w:pPr>
              <w:spacing w:line="282" w:lineRule="atLeast"/>
              <w:jc w:val="center"/>
              <w:rPr>
                <w:rFonts w:ascii="Arial" w:hAnsi="Arial" w:cs="Arial"/>
                <w:b/>
                <w:sz w:val="22"/>
                <w:szCs w:val="22"/>
              </w:rPr>
            </w:pPr>
            <w:r w:rsidRPr="00904FBD">
              <w:rPr>
                <w:rFonts w:ascii="Arial" w:hAnsi="Arial" w:cs="Arial"/>
                <w:b/>
                <w:sz w:val="22"/>
                <w:szCs w:val="22"/>
              </w:rPr>
              <w:t>120</w:t>
            </w:r>
          </w:p>
        </w:tc>
        <w:tc>
          <w:tcPr>
            <w:tcW w:w="2880" w:type="dxa"/>
            <w:vAlign w:val="center"/>
            <w:hideMark/>
          </w:tcPr>
          <w:p w:rsidR="007A4152" w:rsidRPr="00904FBD" w:rsidRDefault="007A4152" w:rsidP="00BC5318">
            <w:pPr>
              <w:spacing w:line="282" w:lineRule="atLeast"/>
              <w:jc w:val="center"/>
              <w:rPr>
                <w:rFonts w:ascii="Arial" w:hAnsi="Arial" w:cs="Arial"/>
                <w:b/>
                <w:sz w:val="22"/>
                <w:szCs w:val="22"/>
              </w:rPr>
            </w:pPr>
            <w:r w:rsidRPr="00904FBD">
              <w:rPr>
                <w:rFonts w:ascii="Arial" w:hAnsi="Arial" w:cs="Arial"/>
                <w:b/>
                <w:sz w:val="22"/>
                <w:szCs w:val="22"/>
              </w:rPr>
              <w:t>27%</w:t>
            </w:r>
          </w:p>
        </w:tc>
      </w:tr>
      <w:tr w:rsidR="007A4152" w:rsidRPr="007A4152" w:rsidTr="00904FBD">
        <w:trPr>
          <w:trHeight w:val="423"/>
          <w:tblCellSpacing w:w="0" w:type="dxa"/>
        </w:trPr>
        <w:tc>
          <w:tcPr>
            <w:tcW w:w="1985" w:type="dxa"/>
            <w:vAlign w:val="center"/>
            <w:hideMark/>
          </w:tcPr>
          <w:p w:rsidR="007A4152" w:rsidRPr="007A4152" w:rsidRDefault="007A4152" w:rsidP="00904FBD">
            <w:pPr>
              <w:spacing w:line="282" w:lineRule="atLeast"/>
              <w:rPr>
                <w:rFonts w:ascii="Arial" w:hAnsi="Arial" w:cs="Arial"/>
                <w:sz w:val="22"/>
                <w:szCs w:val="22"/>
              </w:rPr>
            </w:pPr>
            <w:r w:rsidRPr="007A4152">
              <w:rPr>
                <w:rFonts w:ascii="Arial" w:hAnsi="Arial" w:cs="Arial"/>
                <w:sz w:val="22"/>
                <w:szCs w:val="22"/>
              </w:rPr>
              <w:t>WESCO</w:t>
            </w:r>
          </w:p>
        </w:tc>
        <w:tc>
          <w:tcPr>
            <w:tcW w:w="1260" w:type="dxa"/>
            <w:vAlign w:val="center"/>
            <w:hideMark/>
          </w:tcPr>
          <w:p w:rsidR="007A4152" w:rsidRPr="007A4152" w:rsidRDefault="007A4152" w:rsidP="00BC5318">
            <w:pPr>
              <w:spacing w:line="282" w:lineRule="atLeast"/>
              <w:jc w:val="center"/>
              <w:rPr>
                <w:rFonts w:ascii="Arial" w:hAnsi="Arial" w:cs="Arial"/>
                <w:sz w:val="22"/>
                <w:szCs w:val="22"/>
              </w:rPr>
            </w:pPr>
            <w:r w:rsidRPr="007A4152">
              <w:rPr>
                <w:rFonts w:ascii="Arial" w:hAnsi="Arial" w:cs="Arial"/>
                <w:sz w:val="22"/>
                <w:szCs w:val="22"/>
              </w:rPr>
              <w:t>5483</w:t>
            </w:r>
          </w:p>
        </w:tc>
        <w:tc>
          <w:tcPr>
            <w:tcW w:w="1530" w:type="dxa"/>
            <w:vAlign w:val="center"/>
            <w:hideMark/>
          </w:tcPr>
          <w:p w:rsidR="007A4152" w:rsidRPr="007A4152" w:rsidRDefault="007A4152" w:rsidP="00BC5318">
            <w:pPr>
              <w:spacing w:line="282" w:lineRule="atLeast"/>
              <w:jc w:val="center"/>
              <w:rPr>
                <w:rFonts w:ascii="Arial" w:hAnsi="Arial" w:cs="Arial"/>
                <w:sz w:val="22"/>
                <w:szCs w:val="22"/>
              </w:rPr>
            </w:pPr>
            <w:r w:rsidRPr="007A4152">
              <w:rPr>
                <w:rFonts w:ascii="Arial" w:hAnsi="Arial" w:cs="Arial"/>
                <w:sz w:val="22"/>
                <w:szCs w:val="22"/>
              </w:rPr>
              <w:t>1430</w:t>
            </w:r>
          </w:p>
        </w:tc>
        <w:tc>
          <w:tcPr>
            <w:tcW w:w="1350" w:type="dxa"/>
            <w:vAlign w:val="center"/>
            <w:hideMark/>
          </w:tcPr>
          <w:p w:rsidR="007A4152" w:rsidRPr="007A4152" w:rsidRDefault="007A4152" w:rsidP="00BC5318">
            <w:pPr>
              <w:spacing w:line="282" w:lineRule="atLeast"/>
              <w:jc w:val="center"/>
              <w:rPr>
                <w:rFonts w:ascii="Arial" w:hAnsi="Arial" w:cs="Arial"/>
                <w:sz w:val="22"/>
                <w:szCs w:val="22"/>
              </w:rPr>
            </w:pPr>
            <w:r w:rsidRPr="007A4152">
              <w:rPr>
                <w:rFonts w:ascii="Arial" w:hAnsi="Arial" w:cs="Arial"/>
                <w:sz w:val="22"/>
                <w:szCs w:val="22"/>
              </w:rPr>
              <w:t>87</w:t>
            </w:r>
          </w:p>
        </w:tc>
        <w:tc>
          <w:tcPr>
            <w:tcW w:w="2880" w:type="dxa"/>
            <w:vAlign w:val="center"/>
            <w:hideMark/>
          </w:tcPr>
          <w:p w:rsidR="007A4152" w:rsidRPr="007A4152" w:rsidRDefault="007A4152" w:rsidP="00BC5318">
            <w:pPr>
              <w:spacing w:line="282" w:lineRule="atLeast"/>
              <w:jc w:val="center"/>
              <w:rPr>
                <w:rFonts w:ascii="Arial" w:hAnsi="Arial" w:cs="Arial"/>
                <w:sz w:val="22"/>
                <w:szCs w:val="22"/>
              </w:rPr>
            </w:pPr>
            <w:r w:rsidRPr="007A4152">
              <w:rPr>
                <w:rFonts w:ascii="Arial" w:hAnsi="Arial" w:cs="Arial"/>
                <w:sz w:val="22"/>
                <w:szCs w:val="22"/>
              </w:rPr>
              <w:t>16%</w:t>
            </w:r>
          </w:p>
        </w:tc>
      </w:tr>
      <w:tr w:rsidR="007A4152" w:rsidRPr="007A4152" w:rsidTr="00904FBD">
        <w:trPr>
          <w:trHeight w:val="407"/>
          <w:tblCellSpacing w:w="0" w:type="dxa"/>
        </w:trPr>
        <w:tc>
          <w:tcPr>
            <w:tcW w:w="1985" w:type="dxa"/>
            <w:vAlign w:val="center"/>
            <w:hideMark/>
          </w:tcPr>
          <w:p w:rsidR="007A4152" w:rsidRPr="00904FBD" w:rsidRDefault="007A4152" w:rsidP="00904FBD">
            <w:pPr>
              <w:spacing w:line="282" w:lineRule="atLeast"/>
              <w:rPr>
                <w:rFonts w:ascii="Arial" w:hAnsi="Arial" w:cs="Arial"/>
                <w:sz w:val="22"/>
                <w:szCs w:val="22"/>
              </w:rPr>
            </w:pPr>
            <w:r w:rsidRPr="00904FBD">
              <w:rPr>
                <w:rFonts w:ascii="Arial" w:hAnsi="Arial" w:cs="Arial"/>
                <w:sz w:val="22"/>
                <w:szCs w:val="22"/>
              </w:rPr>
              <w:t>SOUTHCO</w:t>
            </w:r>
          </w:p>
        </w:tc>
        <w:tc>
          <w:tcPr>
            <w:tcW w:w="1260" w:type="dxa"/>
            <w:vAlign w:val="center"/>
            <w:hideMark/>
          </w:tcPr>
          <w:p w:rsidR="007A4152" w:rsidRPr="00904FBD" w:rsidRDefault="007A4152" w:rsidP="00BC5318">
            <w:pPr>
              <w:spacing w:line="282" w:lineRule="atLeast"/>
              <w:jc w:val="center"/>
              <w:rPr>
                <w:rFonts w:ascii="Arial" w:hAnsi="Arial" w:cs="Arial"/>
                <w:sz w:val="22"/>
                <w:szCs w:val="22"/>
              </w:rPr>
            </w:pPr>
            <w:r w:rsidRPr="00904FBD">
              <w:rPr>
                <w:rFonts w:ascii="Arial" w:hAnsi="Arial" w:cs="Arial"/>
                <w:sz w:val="22"/>
                <w:szCs w:val="22"/>
              </w:rPr>
              <w:t>2488</w:t>
            </w:r>
          </w:p>
        </w:tc>
        <w:tc>
          <w:tcPr>
            <w:tcW w:w="1530" w:type="dxa"/>
            <w:vAlign w:val="center"/>
            <w:hideMark/>
          </w:tcPr>
          <w:p w:rsidR="007A4152" w:rsidRPr="00904FBD" w:rsidRDefault="007A4152" w:rsidP="00BC5318">
            <w:pPr>
              <w:spacing w:line="282" w:lineRule="atLeast"/>
              <w:jc w:val="center"/>
              <w:rPr>
                <w:rFonts w:ascii="Arial" w:hAnsi="Arial" w:cs="Arial"/>
                <w:sz w:val="22"/>
                <w:szCs w:val="22"/>
              </w:rPr>
            </w:pPr>
            <w:r w:rsidRPr="00904FBD">
              <w:rPr>
                <w:rFonts w:ascii="Arial" w:hAnsi="Arial" w:cs="Arial"/>
                <w:sz w:val="22"/>
                <w:szCs w:val="22"/>
              </w:rPr>
              <w:t>1202</w:t>
            </w:r>
          </w:p>
        </w:tc>
        <w:tc>
          <w:tcPr>
            <w:tcW w:w="1350" w:type="dxa"/>
            <w:vAlign w:val="center"/>
            <w:hideMark/>
          </w:tcPr>
          <w:p w:rsidR="007A4152" w:rsidRPr="00904FBD" w:rsidRDefault="007A4152" w:rsidP="00BC5318">
            <w:pPr>
              <w:spacing w:line="282" w:lineRule="atLeast"/>
              <w:jc w:val="center"/>
              <w:rPr>
                <w:rFonts w:ascii="Arial" w:hAnsi="Arial" w:cs="Arial"/>
                <w:sz w:val="22"/>
                <w:szCs w:val="22"/>
              </w:rPr>
            </w:pPr>
            <w:r w:rsidRPr="00904FBD">
              <w:rPr>
                <w:rFonts w:ascii="Arial" w:hAnsi="Arial" w:cs="Arial"/>
                <w:sz w:val="22"/>
                <w:szCs w:val="22"/>
              </w:rPr>
              <w:t>161</w:t>
            </w:r>
          </w:p>
        </w:tc>
        <w:tc>
          <w:tcPr>
            <w:tcW w:w="2880" w:type="dxa"/>
            <w:vAlign w:val="center"/>
            <w:hideMark/>
          </w:tcPr>
          <w:p w:rsidR="007A4152" w:rsidRPr="00904FBD" w:rsidRDefault="007A4152" w:rsidP="00BC5318">
            <w:pPr>
              <w:spacing w:line="282" w:lineRule="atLeast"/>
              <w:jc w:val="center"/>
              <w:rPr>
                <w:rFonts w:ascii="Arial" w:hAnsi="Arial" w:cs="Arial"/>
                <w:sz w:val="22"/>
                <w:szCs w:val="22"/>
              </w:rPr>
            </w:pPr>
            <w:r w:rsidRPr="00904FBD">
              <w:rPr>
                <w:rFonts w:ascii="Arial" w:hAnsi="Arial" w:cs="Arial"/>
                <w:sz w:val="22"/>
                <w:szCs w:val="22"/>
              </w:rPr>
              <w:t>58%</w:t>
            </w:r>
          </w:p>
        </w:tc>
      </w:tr>
    </w:tbl>
    <w:p w:rsidR="00155359" w:rsidRDefault="00155359" w:rsidP="0070016E">
      <w:pPr>
        <w:pStyle w:val="Heading1"/>
        <w:spacing w:line="360" w:lineRule="auto"/>
        <w:ind w:left="432"/>
        <w:jc w:val="both"/>
        <w:rPr>
          <w:sz w:val="22"/>
          <w:szCs w:val="22"/>
        </w:rPr>
      </w:pPr>
    </w:p>
    <w:p w:rsidR="007A4152" w:rsidRPr="00155359" w:rsidRDefault="007A4152" w:rsidP="0070016E">
      <w:pPr>
        <w:pStyle w:val="Heading1"/>
        <w:spacing w:line="360" w:lineRule="auto"/>
        <w:ind w:left="432"/>
        <w:jc w:val="both"/>
        <w:rPr>
          <w:b w:val="0"/>
          <w:sz w:val="22"/>
          <w:szCs w:val="22"/>
        </w:rPr>
      </w:pPr>
      <w:bookmarkStart w:id="63" w:name="_Toc404861006"/>
      <w:bookmarkStart w:id="64" w:name="_Toc404940183"/>
      <w:r w:rsidRPr="00155359">
        <w:rPr>
          <w:b w:val="0"/>
          <w:sz w:val="22"/>
          <w:szCs w:val="22"/>
        </w:rPr>
        <w:t>Hence in order to avoid any tariff shock, the Discoms would be ready and willing to accept a longer period of amortization of Regulatory Asset which may entail a recovery in the range of 8-10% of the normal RST for each year.</w:t>
      </w:r>
      <w:bookmarkEnd w:id="63"/>
      <w:bookmarkEnd w:id="64"/>
    </w:p>
    <w:p w:rsidR="0070016E" w:rsidRPr="00331B7A" w:rsidRDefault="0070016E" w:rsidP="0070016E">
      <w:pPr>
        <w:pStyle w:val="Heading1"/>
        <w:spacing w:line="360" w:lineRule="auto"/>
        <w:ind w:left="432"/>
        <w:jc w:val="both"/>
        <w:rPr>
          <w:sz w:val="22"/>
          <w:szCs w:val="22"/>
        </w:rPr>
      </w:pPr>
      <w:bookmarkStart w:id="65" w:name="_Toc404861007"/>
      <w:bookmarkStart w:id="66" w:name="_Toc404940184"/>
      <w:r w:rsidRPr="00331B7A">
        <w:rPr>
          <w:sz w:val="22"/>
          <w:szCs w:val="22"/>
        </w:rPr>
        <w:t>The Licensee humbly requests the Hon’ble Commission to allow amortisation of Regulatory Asset to the extent of Rs</w:t>
      </w:r>
      <w:r w:rsidR="003E298F">
        <w:rPr>
          <w:sz w:val="22"/>
          <w:szCs w:val="22"/>
        </w:rPr>
        <w:t>197</w:t>
      </w:r>
      <w:r w:rsidR="003E6E07" w:rsidRPr="00331B7A">
        <w:rPr>
          <w:sz w:val="22"/>
          <w:szCs w:val="22"/>
        </w:rPr>
        <w:t>.</w:t>
      </w:r>
      <w:r w:rsidR="003E298F">
        <w:rPr>
          <w:sz w:val="22"/>
          <w:szCs w:val="22"/>
        </w:rPr>
        <w:t>77</w:t>
      </w:r>
      <w:r w:rsidRPr="00331B7A">
        <w:rPr>
          <w:sz w:val="22"/>
          <w:szCs w:val="22"/>
        </w:rPr>
        <w:t xml:space="preserve"> Crore for FY 2015-16.</w:t>
      </w:r>
      <w:bookmarkEnd w:id="62"/>
      <w:bookmarkEnd w:id="65"/>
      <w:bookmarkEnd w:id="66"/>
    </w:p>
    <w:p w:rsidR="004276A0" w:rsidRPr="00331B7A" w:rsidRDefault="004276A0" w:rsidP="00CF66A5">
      <w:pPr>
        <w:pStyle w:val="Heading1"/>
        <w:numPr>
          <w:ilvl w:val="1"/>
          <w:numId w:val="48"/>
        </w:numPr>
        <w:spacing w:line="360" w:lineRule="auto"/>
        <w:ind w:left="1440"/>
        <w:jc w:val="both"/>
        <w:rPr>
          <w:sz w:val="22"/>
          <w:szCs w:val="22"/>
        </w:rPr>
      </w:pPr>
      <w:bookmarkStart w:id="67" w:name="_Toc404940185"/>
      <w:r w:rsidRPr="00331B7A">
        <w:rPr>
          <w:sz w:val="22"/>
          <w:szCs w:val="22"/>
        </w:rPr>
        <w:t>Revenue at Existing Tariffs</w:t>
      </w:r>
      <w:bookmarkEnd w:id="67"/>
    </w:p>
    <w:p w:rsidR="004276A0" w:rsidRPr="00331B7A" w:rsidRDefault="004276A0" w:rsidP="004276A0">
      <w:pPr>
        <w:pStyle w:val="BodyText2"/>
        <w:spacing w:line="360" w:lineRule="auto"/>
        <w:jc w:val="both"/>
        <w:rPr>
          <w:rFonts w:cs="Arial"/>
          <w:sz w:val="22"/>
          <w:szCs w:val="22"/>
        </w:rPr>
      </w:pPr>
      <w:r w:rsidRPr="00331B7A">
        <w:rPr>
          <w:rFonts w:cs="Arial"/>
          <w:sz w:val="22"/>
          <w:szCs w:val="22"/>
        </w:rPr>
        <w:t xml:space="preserve">The Licensee has estimated the revenue from sale of power considering the sales projected for FY 2015-16 and by applying the various components of existing tariffs. As detailed out in </w:t>
      </w:r>
      <w:r w:rsidRPr="00331B7A">
        <w:rPr>
          <w:rFonts w:cs="Arial"/>
          <w:sz w:val="22"/>
          <w:szCs w:val="22"/>
        </w:rPr>
        <w:lastRenderedPageBreak/>
        <w:t>previous sections, the Licensee has adopted the approach considered by the Commission and estimated the revenue from sale of power on accrual basis. The total revenue based on the existing tariffs applicable for the project</w:t>
      </w:r>
      <w:r w:rsidR="00F67283" w:rsidRPr="00331B7A">
        <w:rPr>
          <w:rFonts w:cs="Arial"/>
          <w:sz w:val="22"/>
          <w:szCs w:val="22"/>
        </w:rPr>
        <w:t>ed sales is estimated at Rs</w:t>
      </w:r>
      <w:r w:rsidR="0032246D" w:rsidRPr="00331B7A">
        <w:rPr>
          <w:rFonts w:cs="Arial"/>
          <w:sz w:val="22"/>
          <w:szCs w:val="22"/>
        </w:rPr>
        <w:t>. 1812</w:t>
      </w:r>
      <w:r w:rsidRPr="00331B7A">
        <w:rPr>
          <w:rFonts w:cs="Arial"/>
          <w:sz w:val="22"/>
          <w:szCs w:val="22"/>
        </w:rPr>
        <w:t xml:space="preserve">Crore. </w:t>
      </w:r>
    </w:p>
    <w:p w:rsidR="004276A0" w:rsidRPr="00331B7A" w:rsidRDefault="004276A0" w:rsidP="004276A0">
      <w:pPr>
        <w:pStyle w:val="BodyText2"/>
        <w:spacing w:line="360" w:lineRule="auto"/>
        <w:jc w:val="both"/>
        <w:rPr>
          <w:rFonts w:cs="Arial"/>
          <w:sz w:val="22"/>
          <w:szCs w:val="22"/>
        </w:rPr>
      </w:pPr>
      <w:r w:rsidRPr="00331B7A">
        <w:rPr>
          <w:rFonts w:cs="Arial"/>
          <w:sz w:val="22"/>
          <w:szCs w:val="22"/>
        </w:rPr>
        <w:t>The details of estimated revenue from different categories of consumers at existing tariffs is provided in FormT-7&amp;T- 8. The License humbly requests the Hon’ble Commission to estimate the revenue for estimated sales at existing tariff by duly considering the category-wise and slab wise in the format prescribed by the Hon’ble Commission the tariffs applicable instead of projecting it by applying an average realization rate as the average realization rate does not take into account the impact of variations in sales mix on the estimated revenue.  With the implementation of the RGGVY and BGJY Schemes the sales mix shall be further skewed to the LT subsidized category.</w:t>
      </w:r>
    </w:p>
    <w:p w:rsidR="004276A0" w:rsidRPr="00331B7A" w:rsidRDefault="004276A0" w:rsidP="00CF66A5">
      <w:pPr>
        <w:pStyle w:val="Heading1"/>
        <w:numPr>
          <w:ilvl w:val="1"/>
          <w:numId w:val="48"/>
        </w:numPr>
        <w:spacing w:line="360" w:lineRule="auto"/>
        <w:ind w:left="1440"/>
        <w:jc w:val="both"/>
        <w:rPr>
          <w:sz w:val="22"/>
          <w:szCs w:val="22"/>
        </w:rPr>
      </w:pPr>
      <w:bookmarkStart w:id="68" w:name="_Toc404940186"/>
      <w:r w:rsidRPr="00331B7A">
        <w:rPr>
          <w:sz w:val="22"/>
          <w:szCs w:val="22"/>
        </w:rPr>
        <w:t>Summary of Annual Revenue Requirement and Revenue Gap</w:t>
      </w:r>
      <w:bookmarkEnd w:id="68"/>
    </w:p>
    <w:p w:rsidR="004276A0" w:rsidRPr="00331B7A" w:rsidRDefault="004276A0" w:rsidP="004276A0">
      <w:pPr>
        <w:pStyle w:val="BodyText2"/>
        <w:spacing w:line="360" w:lineRule="auto"/>
        <w:jc w:val="both"/>
        <w:rPr>
          <w:rFonts w:cs="Arial"/>
          <w:sz w:val="22"/>
          <w:szCs w:val="22"/>
        </w:rPr>
      </w:pPr>
      <w:r w:rsidRPr="00331B7A">
        <w:rPr>
          <w:rFonts w:cs="Arial"/>
          <w:sz w:val="22"/>
          <w:szCs w:val="22"/>
        </w:rPr>
        <w:t>The summary of Annual Revenue Requirement, Revenue at Existing Tariffs and Revenue Gap for the ensuing year  2015-16is provided below.</w:t>
      </w:r>
    </w:p>
    <w:p w:rsidR="004276A0" w:rsidRPr="00331B7A" w:rsidRDefault="004276A0" w:rsidP="004276A0">
      <w:pPr>
        <w:pStyle w:val="Caption"/>
        <w:keepNext/>
        <w:spacing w:line="360" w:lineRule="auto"/>
        <w:ind w:firstLine="360"/>
        <w:rPr>
          <w:rFonts w:cs="Arial"/>
          <w:b/>
          <w:sz w:val="22"/>
          <w:szCs w:val="22"/>
        </w:rPr>
      </w:pPr>
      <w:r w:rsidRPr="00331B7A">
        <w:rPr>
          <w:rFonts w:cs="Arial"/>
          <w:b/>
          <w:sz w:val="22"/>
          <w:szCs w:val="22"/>
        </w:rPr>
        <w:t>Revenue Gap</w:t>
      </w:r>
    </w:p>
    <w:tbl>
      <w:tblPr>
        <w:tblW w:w="8746"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5947"/>
        <w:gridCol w:w="2799"/>
      </w:tblGrid>
      <w:tr w:rsidR="004276A0" w:rsidRPr="00331B7A" w:rsidTr="000334F1">
        <w:trPr>
          <w:trHeight w:val="340"/>
          <w:jc w:val="center"/>
        </w:trPr>
        <w:tc>
          <w:tcPr>
            <w:tcW w:w="5947" w:type="dxa"/>
            <w:shd w:val="solid" w:color="000080" w:fill="FFFFFF"/>
          </w:tcPr>
          <w:p w:rsidR="004276A0" w:rsidRPr="00331B7A" w:rsidRDefault="004276A0" w:rsidP="000334F1">
            <w:pPr>
              <w:spacing w:line="360" w:lineRule="auto"/>
              <w:rPr>
                <w:rFonts w:ascii="Arial" w:hAnsi="Arial" w:cs="Arial"/>
                <w:b/>
                <w:bCs/>
                <w:color w:val="FFFFFF"/>
                <w:sz w:val="22"/>
                <w:szCs w:val="22"/>
              </w:rPr>
            </w:pPr>
          </w:p>
        </w:tc>
        <w:tc>
          <w:tcPr>
            <w:tcW w:w="2799" w:type="dxa"/>
            <w:shd w:val="solid" w:color="000080" w:fill="FFFFFF"/>
          </w:tcPr>
          <w:p w:rsidR="004276A0" w:rsidRPr="00331B7A" w:rsidRDefault="004276A0" w:rsidP="000334F1">
            <w:pPr>
              <w:spacing w:line="360" w:lineRule="auto"/>
              <w:jc w:val="center"/>
              <w:rPr>
                <w:rFonts w:ascii="Arial" w:hAnsi="Arial" w:cs="Arial"/>
                <w:b/>
                <w:bCs/>
                <w:color w:val="FFFFFF"/>
                <w:sz w:val="22"/>
                <w:szCs w:val="22"/>
              </w:rPr>
            </w:pPr>
            <w:r w:rsidRPr="00331B7A">
              <w:rPr>
                <w:rFonts w:ascii="Arial" w:hAnsi="Arial" w:cs="Arial"/>
                <w:b/>
                <w:sz w:val="22"/>
                <w:szCs w:val="22"/>
              </w:rPr>
              <w:t>Rs Crore</w:t>
            </w:r>
          </w:p>
        </w:tc>
      </w:tr>
      <w:tr w:rsidR="003E298F" w:rsidRPr="00331B7A" w:rsidTr="009912CC">
        <w:trPr>
          <w:trHeight w:val="340"/>
          <w:jc w:val="center"/>
        </w:trPr>
        <w:tc>
          <w:tcPr>
            <w:tcW w:w="5947" w:type="dxa"/>
            <w:vAlign w:val="center"/>
          </w:tcPr>
          <w:p w:rsidR="003E298F" w:rsidRPr="00331B7A" w:rsidRDefault="003E298F" w:rsidP="000334F1">
            <w:pPr>
              <w:autoSpaceDE w:val="0"/>
              <w:autoSpaceDN w:val="0"/>
              <w:adjustRightInd w:val="0"/>
              <w:spacing w:line="360" w:lineRule="auto"/>
              <w:rPr>
                <w:rFonts w:ascii="Arial" w:hAnsi="Arial" w:cs="Arial"/>
                <w:color w:val="000000"/>
                <w:sz w:val="22"/>
                <w:szCs w:val="22"/>
              </w:rPr>
            </w:pPr>
          </w:p>
          <w:p w:rsidR="003E298F" w:rsidRPr="00331B7A" w:rsidRDefault="003E298F" w:rsidP="000334F1">
            <w:pPr>
              <w:autoSpaceDE w:val="0"/>
              <w:autoSpaceDN w:val="0"/>
              <w:adjustRightInd w:val="0"/>
              <w:spacing w:line="360" w:lineRule="auto"/>
              <w:rPr>
                <w:rFonts w:ascii="Arial" w:hAnsi="Arial" w:cs="Arial"/>
                <w:color w:val="000000"/>
                <w:sz w:val="22"/>
                <w:szCs w:val="22"/>
              </w:rPr>
            </w:pPr>
            <w:r w:rsidRPr="00331B7A">
              <w:rPr>
                <w:rFonts w:ascii="Arial" w:hAnsi="Arial" w:cs="Arial"/>
                <w:color w:val="000000"/>
                <w:sz w:val="22"/>
                <w:szCs w:val="22"/>
              </w:rPr>
              <w:t>Expenditure including Special Appropriation in FY 2015-16</w:t>
            </w:r>
          </w:p>
          <w:p w:rsidR="003E298F" w:rsidRPr="00331B7A" w:rsidRDefault="003E298F" w:rsidP="000334F1">
            <w:pPr>
              <w:autoSpaceDE w:val="0"/>
              <w:autoSpaceDN w:val="0"/>
              <w:adjustRightInd w:val="0"/>
              <w:spacing w:line="360" w:lineRule="auto"/>
              <w:rPr>
                <w:rFonts w:ascii="Arial" w:hAnsi="Arial" w:cs="Arial"/>
                <w:color w:val="000000"/>
                <w:sz w:val="22"/>
                <w:szCs w:val="22"/>
              </w:rPr>
            </w:pPr>
          </w:p>
        </w:tc>
        <w:tc>
          <w:tcPr>
            <w:tcW w:w="2799" w:type="dxa"/>
            <w:vAlign w:val="center"/>
          </w:tcPr>
          <w:p w:rsidR="003E298F" w:rsidRDefault="003E298F">
            <w:pPr>
              <w:jc w:val="right"/>
              <w:rPr>
                <w:rFonts w:ascii="Cambria" w:hAnsi="Cambria" w:cs="Arial"/>
                <w:color w:val="000000"/>
                <w:sz w:val="22"/>
                <w:szCs w:val="22"/>
              </w:rPr>
            </w:pPr>
            <w:r>
              <w:rPr>
                <w:rFonts w:ascii="Cambria" w:hAnsi="Cambria" w:cs="Arial"/>
                <w:color w:val="000000"/>
                <w:sz w:val="22"/>
                <w:szCs w:val="22"/>
              </w:rPr>
              <w:t>2302.38</w:t>
            </w:r>
          </w:p>
        </w:tc>
      </w:tr>
      <w:tr w:rsidR="003E298F" w:rsidRPr="00331B7A" w:rsidTr="009912CC">
        <w:trPr>
          <w:trHeight w:val="340"/>
          <w:jc w:val="center"/>
        </w:trPr>
        <w:tc>
          <w:tcPr>
            <w:tcW w:w="5947" w:type="dxa"/>
            <w:vAlign w:val="center"/>
          </w:tcPr>
          <w:p w:rsidR="003E298F" w:rsidRPr="00331B7A" w:rsidRDefault="003E298F" w:rsidP="000334F1">
            <w:pPr>
              <w:autoSpaceDE w:val="0"/>
              <w:autoSpaceDN w:val="0"/>
              <w:adjustRightInd w:val="0"/>
              <w:spacing w:line="360" w:lineRule="auto"/>
              <w:rPr>
                <w:rFonts w:ascii="Arial" w:hAnsi="Arial" w:cs="Arial"/>
                <w:color w:val="000000"/>
                <w:sz w:val="22"/>
                <w:szCs w:val="22"/>
              </w:rPr>
            </w:pPr>
            <w:r w:rsidRPr="00331B7A">
              <w:rPr>
                <w:rFonts w:ascii="Arial" w:hAnsi="Arial" w:cs="Arial"/>
                <w:color w:val="000000"/>
                <w:sz w:val="22"/>
                <w:szCs w:val="22"/>
              </w:rPr>
              <w:t>Reasonable return for FY 2015-16</w:t>
            </w:r>
          </w:p>
        </w:tc>
        <w:tc>
          <w:tcPr>
            <w:tcW w:w="2799" w:type="dxa"/>
            <w:vAlign w:val="center"/>
          </w:tcPr>
          <w:p w:rsidR="003E298F" w:rsidRDefault="003E298F">
            <w:pPr>
              <w:jc w:val="right"/>
              <w:rPr>
                <w:rFonts w:ascii="Cambria" w:hAnsi="Cambria" w:cs="Arial"/>
                <w:color w:val="000000"/>
                <w:sz w:val="22"/>
                <w:szCs w:val="22"/>
              </w:rPr>
            </w:pPr>
            <w:r>
              <w:rPr>
                <w:rFonts w:ascii="Cambria" w:hAnsi="Cambria" w:cs="Arial"/>
                <w:color w:val="000000"/>
                <w:sz w:val="22"/>
                <w:szCs w:val="22"/>
              </w:rPr>
              <w:t>10.55</w:t>
            </w:r>
          </w:p>
        </w:tc>
      </w:tr>
      <w:tr w:rsidR="003E298F" w:rsidRPr="00331B7A" w:rsidTr="009912CC">
        <w:trPr>
          <w:trHeight w:val="340"/>
          <w:jc w:val="center"/>
        </w:trPr>
        <w:tc>
          <w:tcPr>
            <w:tcW w:w="5947" w:type="dxa"/>
            <w:vAlign w:val="center"/>
          </w:tcPr>
          <w:p w:rsidR="003E298F" w:rsidRPr="00331B7A" w:rsidRDefault="003E298F" w:rsidP="000334F1">
            <w:pPr>
              <w:autoSpaceDE w:val="0"/>
              <w:autoSpaceDN w:val="0"/>
              <w:adjustRightInd w:val="0"/>
              <w:spacing w:line="360" w:lineRule="auto"/>
              <w:rPr>
                <w:rFonts w:ascii="Arial" w:hAnsi="Arial" w:cs="Arial"/>
                <w:b/>
                <w:color w:val="000000"/>
                <w:sz w:val="22"/>
                <w:szCs w:val="22"/>
              </w:rPr>
            </w:pPr>
            <w:r w:rsidRPr="00331B7A">
              <w:rPr>
                <w:rFonts w:ascii="Arial" w:hAnsi="Arial" w:cs="Arial"/>
                <w:color w:val="000000"/>
                <w:sz w:val="22"/>
                <w:szCs w:val="22"/>
              </w:rPr>
              <w:t>Amortisation of Regulatory Assets (10%)</w:t>
            </w:r>
          </w:p>
        </w:tc>
        <w:tc>
          <w:tcPr>
            <w:tcW w:w="2799" w:type="dxa"/>
            <w:vAlign w:val="center"/>
          </w:tcPr>
          <w:p w:rsidR="003E298F" w:rsidRDefault="003E298F">
            <w:pPr>
              <w:jc w:val="right"/>
              <w:rPr>
                <w:rFonts w:ascii="Cambria" w:hAnsi="Cambria" w:cs="Arial"/>
                <w:color w:val="000000"/>
                <w:sz w:val="22"/>
                <w:szCs w:val="22"/>
              </w:rPr>
            </w:pPr>
            <w:r>
              <w:rPr>
                <w:rFonts w:ascii="Cambria" w:hAnsi="Cambria" w:cs="Arial"/>
                <w:color w:val="000000"/>
                <w:sz w:val="22"/>
                <w:szCs w:val="22"/>
              </w:rPr>
              <w:t>81.81</w:t>
            </w:r>
          </w:p>
        </w:tc>
      </w:tr>
      <w:tr w:rsidR="003E298F" w:rsidRPr="00331B7A" w:rsidTr="009912CC">
        <w:trPr>
          <w:trHeight w:val="340"/>
          <w:jc w:val="center"/>
        </w:trPr>
        <w:tc>
          <w:tcPr>
            <w:tcW w:w="5947" w:type="dxa"/>
            <w:vAlign w:val="center"/>
          </w:tcPr>
          <w:p w:rsidR="003E298F" w:rsidRPr="00331B7A" w:rsidRDefault="003E298F" w:rsidP="000334F1">
            <w:pPr>
              <w:autoSpaceDE w:val="0"/>
              <w:autoSpaceDN w:val="0"/>
              <w:adjustRightInd w:val="0"/>
              <w:spacing w:line="360" w:lineRule="auto"/>
              <w:rPr>
                <w:rFonts w:ascii="Arial" w:hAnsi="Arial" w:cs="Arial"/>
                <w:b/>
                <w:color w:val="000000"/>
                <w:sz w:val="22"/>
                <w:szCs w:val="22"/>
              </w:rPr>
            </w:pPr>
            <w:r w:rsidRPr="00331B7A">
              <w:rPr>
                <w:rFonts w:ascii="Arial" w:hAnsi="Arial" w:cs="Arial"/>
                <w:color w:val="000000"/>
                <w:sz w:val="22"/>
                <w:szCs w:val="22"/>
              </w:rPr>
              <w:t>Truing up of Revenue Gap for FY 2014-15 (1/3</w:t>
            </w:r>
            <w:r w:rsidRPr="00331B7A">
              <w:rPr>
                <w:rFonts w:ascii="Arial" w:hAnsi="Arial" w:cs="Arial"/>
                <w:color w:val="000000"/>
                <w:sz w:val="22"/>
                <w:szCs w:val="22"/>
                <w:vertAlign w:val="superscript"/>
              </w:rPr>
              <w:t>rd</w:t>
            </w:r>
            <w:r w:rsidRPr="00331B7A">
              <w:rPr>
                <w:rFonts w:ascii="Arial" w:hAnsi="Arial" w:cs="Arial"/>
                <w:color w:val="000000"/>
                <w:sz w:val="22"/>
                <w:szCs w:val="22"/>
              </w:rPr>
              <w:t>)</w:t>
            </w:r>
          </w:p>
        </w:tc>
        <w:tc>
          <w:tcPr>
            <w:tcW w:w="2799" w:type="dxa"/>
            <w:vAlign w:val="center"/>
          </w:tcPr>
          <w:p w:rsidR="003E298F" w:rsidRDefault="003E298F">
            <w:pPr>
              <w:jc w:val="right"/>
              <w:rPr>
                <w:rFonts w:ascii="Cambria" w:hAnsi="Cambria" w:cs="Arial"/>
                <w:color w:val="000000"/>
                <w:sz w:val="22"/>
                <w:szCs w:val="22"/>
              </w:rPr>
            </w:pPr>
            <w:r>
              <w:rPr>
                <w:rFonts w:ascii="Cambria" w:hAnsi="Cambria" w:cs="Arial"/>
                <w:color w:val="000000"/>
                <w:sz w:val="22"/>
                <w:szCs w:val="22"/>
              </w:rPr>
              <w:t>115.96</w:t>
            </w:r>
          </w:p>
        </w:tc>
      </w:tr>
      <w:tr w:rsidR="003E298F" w:rsidRPr="00331B7A" w:rsidTr="009912CC">
        <w:trPr>
          <w:trHeight w:val="340"/>
          <w:jc w:val="center"/>
        </w:trPr>
        <w:tc>
          <w:tcPr>
            <w:tcW w:w="5947" w:type="dxa"/>
            <w:vAlign w:val="center"/>
          </w:tcPr>
          <w:p w:rsidR="003E298F" w:rsidRPr="00331B7A" w:rsidRDefault="003E298F" w:rsidP="000334F1">
            <w:pPr>
              <w:autoSpaceDE w:val="0"/>
              <w:autoSpaceDN w:val="0"/>
              <w:adjustRightInd w:val="0"/>
              <w:spacing w:line="360" w:lineRule="auto"/>
              <w:rPr>
                <w:rFonts w:ascii="Arial" w:hAnsi="Arial" w:cs="Arial"/>
                <w:b/>
                <w:color w:val="000000"/>
                <w:sz w:val="22"/>
                <w:szCs w:val="22"/>
              </w:rPr>
            </w:pPr>
            <w:r w:rsidRPr="00331B7A">
              <w:rPr>
                <w:rFonts w:ascii="Arial" w:hAnsi="Arial" w:cs="Arial"/>
                <w:b/>
                <w:color w:val="000000"/>
                <w:sz w:val="22"/>
                <w:szCs w:val="22"/>
              </w:rPr>
              <w:t>Sub Total</w:t>
            </w:r>
          </w:p>
        </w:tc>
        <w:tc>
          <w:tcPr>
            <w:tcW w:w="2799" w:type="dxa"/>
            <w:vAlign w:val="center"/>
          </w:tcPr>
          <w:p w:rsidR="003E298F" w:rsidRDefault="003E298F">
            <w:pPr>
              <w:jc w:val="right"/>
              <w:rPr>
                <w:rFonts w:ascii="Cambria" w:hAnsi="Cambria" w:cs="Arial"/>
                <w:b/>
                <w:bCs/>
                <w:color w:val="000000"/>
                <w:sz w:val="22"/>
                <w:szCs w:val="22"/>
              </w:rPr>
            </w:pPr>
            <w:r>
              <w:rPr>
                <w:rFonts w:ascii="Cambria" w:hAnsi="Cambria" w:cs="Arial"/>
                <w:b/>
                <w:bCs/>
                <w:color w:val="000000"/>
                <w:sz w:val="22"/>
                <w:szCs w:val="22"/>
              </w:rPr>
              <w:t>2510.69</w:t>
            </w:r>
          </w:p>
        </w:tc>
      </w:tr>
      <w:tr w:rsidR="003E298F" w:rsidRPr="00331B7A" w:rsidTr="009912CC">
        <w:trPr>
          <w:trHeight w:val="340"/>
          <w:jc w:val="center"/>
        </w:trPr>
        <w:tc>
          <w:tcPr>
            <w:tcW w:w="5947" w:type="dxa"/>
            <w:vAlign w:val="center"/>
          </w:tcPr>
          <w:p w:rsidR="003E298F" w:rsidRPr="00331B7A" w:rsidRDefault="003E298F" w:rsidP="000334F1">
            <w:pPr>
              <w:autoSpaceDE w:val="0"/>
              <w:autoSpaceDN w:val="0"/>
              <w:adjustRightInd w:val="0"/>
              <w:spacing w:line="360" w:lineRule="auto"/>
              <w:rPr>
                <w:rFonts w:ascii="Arial" w:hAnsi="Arial" w:cs="Arial"/>
                <w:color w:val="000000"/>
                <w:sz w:val="22"/>
                <w:szCs w:val="22"/>
              </w:rPr>
            </w:pPr>
            <w:r w:rsidRPr="00331B7A">
              <w:rPr>
                <w:rFonts w:ascii="Arial" w:hAnsi="Arial" w:cs="Arial"/>
                <w:color w:val="000000"/>
                <w:sz w:val="22"/>
                <w:szCs w:val="22"/>
              </w:rPr>
              <w:t>Revenue from sale of power at existing tariffs in FY 2015-16</w:t>
            </w:r>
          </w:p>
        </w:tc>
        <w:tc>
          <w:tcPr>
            <w:tcW w:w="2799" w:type="dxa"/>
            <w:vAlign w:val="center"/>
          </w:tcPr>
          <w:p w:rsidR="003E298F" w:rsidRDefault="003E298F">
            <w:pPr>
              <w:jc w:val="right"/>
              <w:rPr>
                <w:rFonts w:ascii="Cambria" w:hAnsi="Cambria" w:cs="Arial"/>
                <w:color w:val="000000"/>
                <w:sz w:val="22"/>
                <w:szCs w:val="22"/>
              </w:rPr>
            </w:pPr>
            <w:r>
              <w:rPr>
                <w:rFonts w:ascii="Cambria" w:hAnsi="Cambria" w:cs="Arial"/>
                <w:color w:val="000000"/>
                <w:sz w:val="22"/>
                <w:szCs w:val="22"/>
              </w:rPr>
              <w:t>1812.30</w:t>
            </w:r>
          </w:p>
        </w:tc>
      </w:tr>
      <w:tr w:rsidR="003E298F" w:rsidRPr="00331B7A" w:rsidTr="009912CC">
        <w:trPr>
          <w:trHeight w:val="340"/>
          <w:jc w:val="center"/>
        </w:trPr>
        <w:tc>
          <w:tcPr>
            <w:tcW w:w="5947" w:type="dxa"/>
            <w:vAlign w:val="center"/>
          </w:tcPr>
          <w:p w:rsidR="003E298F" w:rsidRPr="00331B7A" w:rsidRDefault="003E298F" w:rsidP="000334F1">
            <w:pPr>
              <w:autoSpaceDE w:val="0"/>
              <w:autoSpaceDN w:val="0"/>
              <w:adjustRightInd w:val="0"/>
              <w:spacing w:line="360" w:lineRule="auto"/>
              <w:rPr>
                <w:rFonts w:ascii="Arial" w:hAnsi="Arial" w:cs="Arial"/>
                <w:bCs/>
                <w:color w:val="000000"/>
                <w:sz w:val="22"/>
                <w:szCs w:val="22"/>
              </w:rPr>
            </w:pPr>
            <w:r w:rsidRPr="00331B7A">
              <w:rPr>
                <w:rFonts w:ascii="Arial" w:hAnsi="Arial" w:cs="Arial"/>
                <w:bCs/>
                <w:color w:val="000000"/>
                <w:sz w:val="22"/>
                <w:szCs w:val="22"/>
              </w:rPr>
              <w:t>Non Tariff Income</w:t>
            </w:r>
          </w:p>
        </w:tc>
        <w:tc>
          <w:tcPr>
            <w:tcW w:w="2799" w:type="dxa"/>
            <w:vAlign w:val="center"/>
          </w:tcPr>
          <w:p w:rsidR="003E298F" w:rsidRDefault="003E298F">
            <w:pPr>
              <w:jc w:val="right"/>
              <w:rPr>
                <w:rFonts w:ascii="Cambria" w:hAnsi="Cambria" w:cs="Arial"/>
                <w:color w:val="000000"/>
                <w:sz w:val="22"/>
                <w:szCs w:val="22"/>
              </w:rPr>
            </w:pPr>
            <w:r>
              <w:rPr>
                <w:rFonts w:ascii="Cambria" w:hAnsi="Cambria" w:cs="Arial"/>
                <w:color w:val="000000"/>
                <w:sz w:val="22"/>
                <w:szCs w:val="22"/>
              </w:rPr>
              <w:t>50.41</w:t>
            </w:r>
          </w:p>
        </w:tc>
      </w:tr>
      <w:tr w:rsidR="003E298F" w:rsidRPr="00331B7A" w:rsidTr="009912CC">
        <w:trPr>
          <w:trHeight w:val="340"/>
          <w:jc w:val="center"/>
        </w:trPr>
        <w:tc>
          <w:tcPr>
            <w:tcW w:w="5947" w:type="dxa"/>
            <w:vAlign w:val="center"/>
          </w:tcPr>
          <w:p w:rsidR="003E298F" w:rsidRPr="00331B7A" w:rsidRDefault="003E298F" w:rsidP="000334F1">
            <w:pPr>
              <w:autoSpaceDE w:val="0"/>
              <w:autoSpaceDN w:val="0"/>
              <w:adjustRightInd w:val="0"/>
              <w:spacing w:line="360" w:lineRule="auto"/>
              <w:rPr>
                <w:rFonts w:ascii="Arial" w:hAnsi="Arial" w:cs="Arial"/>
                <w:b/>
                <w:color w:val="000000"/>
                <w:sz w:val="22"/>
                <w:szCs w:val="22"/>
              </w:rPr>
            </w:pPr>
            <w:r w:rsidRPr="00331B7A">
              <w:rPr>
                <w:rFonts w:ascii="Arial" w:hAnsi="Arial" w:cs="Arial"/>
                <w:b/>
                <w:color w:val="000000"/>
                <w:sz w:val="22"/>
                <w:szCs w:val="22"/>
              </w:rPr>
              <w:t>TOTAL REVENUE GAP (with existing tariff)</w:t>
            </w:r>
          </w:p>
        </w:tc>
        <w:tc>
          <w:tcPr>
            <w:tcW w:w="2799" w:type="dxa"/>
            <w:vAlign w:val="center"/>
          </w:tcPr>
          <w:p w:rsidR="003E298F" w:rsidRPr="003E298F" w:rsidRDefault="003E298F">
            <w:pPr>
              <w:jc w:val="right"/>
              <w:rPr>
                <w:rFonts w:ascii="Cambria" w:hAnsi="Cambria" w:cs="Arial"/>
                <w:b/>
                <w:bCs/>
                <w:sz w:val="22"/>
                <w:szCs w:val="22"/>
              </w:rPr>
            </w:pPr>
            <w:r w:rsidRPr="003E298F">
              <w:rPr>
                <w:rFonts w:ascii="Cambria" w:hAnsi="Cambria" w:cs="Arial"/>
                <w:b/>
                <w:bCs/>
                <w:sz w:val="22"/>
                <w:szCs w:val="22"/>
              </w:rPr>
              <w:t xml:space="preserve">-647.98 </w:t>
            </w:r>
          </w:p>
        </w:tc>
      </w:tr>
    </w:tbl>
    <w:p w:rsidR="00444C43" w:rsidRPr="00331B7A" w:rsidRDefault="00444C43" w:rsidP="000C52C7">
      <w:pPr>
        <w:pStyle w:val="Heading1"/>
        <w:numPr>
          <w:ilvl w:val="0"/>
          <w:numId w:val="1"/>
        </w:numPr>
        <w:spacing w:line="360" w:lineRule="auto"/>
        <w:jc w:val="both"/>
        <w:rPr>
          <w:bCs w:val="0"/>
          <w:sz w:val="22"/>
          <w:szCs w:val="22"/>
        </w:rPr>
      </w:pPr>
      <w:bookmarkStart w:id="69" w:name="_Toc278737550"/>
      <w:bookmarkStart w:id="70" w:name="_Toc278737554"/>
      <w:bookmarkStart w:id="71" w:name="_Toc278737556"/>
      <w:bookmarkStart w:id="72" w:name="_Toc278737557"/>
      <w:bookmarkStart w:id="73" w:name="_Toc278737558"/>
      <w:bookmarkStart w:id="74" w:name="_Toc278737559"/>
      <w:bookmarkStart w:id="75" w:name="_Toc278737560"/>
      <w:bookmarkStart w:id="76" w:name="_Toc404940187"/>
      <w:bookmarkEnd w:id="69"/>
      <w:bookmarkEnd w:id="70"/>
      <w:bookmarkEnd w:id="71"/>
      <w:bookmarkEnd w:id="72"/>
      <w:bookmarkEnd w:id="73"/>
      <w:bookmarkEnd w:id="74"/>
      <w:bookmarkEnd w:id="75"/>
      <w:r w:rsidRPr="00331B7A">
        <w:rPr>
          <w:bCs w:val="0"/>
          <w:sz w:val="22"/>
          <w:szCs w:val="22"/>
        </w:rPr>
        <w:t>Initiatives by Discom</w:t>
      </w:r>
      <w:bookmarkEnd w:id="76"/>
    </w:p>
    <w:p w:rsidR="00F80724" w:rsidRPr="00331B7A" w:rsidRDefault="00F80724" w:rsidP="00F80724">
      <w:pPr>
        <w:rPr>
          <w:rFonts w:ascii="Arial" w:hAnsi="Arial" w:cs="Arial"/>
          <w:sz w:val="22"/>
          <w:szCs w:val="22"/>
        </w:rPr>
      </w:pPr>
    </w:p>
    <w:p w:rsidR="00F80724" w:rsidRPr="00331B7A" w:rsidRDefault="00F80724" w:rsidP="00CF66A5">
      <w:pPr>
        <w:pStyle w:val="ListParagraph"/>
        <w:numPr>
          <w:ilvl w:val="1"/>
          <w:numId w:val="49"/>
        </w:numPr>
        <w:jc w:val="both"/>
        <w:rPr>
          <w:rFonts w:ascii="Arial" w:hAnsi="Arial" w:cs="Arial"/>
          <w:b/>
          <w:u w:val="single"/>
        </w:rPr>
      </w:pPr>
      <w:r w:rsidRPr="00331B7A">
        <w:rPr>
          <w:rFonts w:ascii="Arial" w:hAnsi="Arial" w:cs="Arial"/>
          <w:b/>
          <w:u w:val="single"/>
        </w:rPr>
        <w:t xml:space="preserve">Various Payment Options </w:t>
      </w:r>
    </w:p>
    <w:p w:rsidR="00F80724" w:rsidRPr="00331B7A" w:rsidRDefault="00F80724" w:rsidP="00F80724">
      <w:pPr>
        <w:pStyle w:val="ListParagraph"/>
        <w:spacing w:line="360" w:lineRule="auto"/>
        <w:jc w:val="both"/>
        <w:rPr>
          <w:rFonts w:ascii="Arial" w:hAnsi="Arial" w:cs="Arial"/>
        </w:rPr>
      </w:pPr>
    </w:p>
    <w:p w:rsidR="00F80724" w:rsidRPr="00331B7A" w:rsidRDefault="00F80724" w:rsidP="00F80724">
      <w:pPr>
        <w:pStyle w:val="ListParagraph"/>
        <w:spacing w:line="360" w:lineRule="auto"/>
        <w:jc w:val="both"/>
        <w:rPr>
          <w:rFonts w:ascii="Arial" w:hAnsi="Arial" w:cs="Arial"/>
        </w:rPr>
      </w:pPr>
      <w:r w:rsidRPr="00331B7A">
        <w:rPr>
          <w:rFonts w:ascii="Arial" w:hAnsi="Arial" w:cs="Arial"/>
        </w:rPr>
        <w:t xml:space="preserve">To improve the reach to the consumers, Discoms have engaged various service providers for easy payment option to the consumers for payment of Energy Bills through offline/online mode which would enhance the overall collection efficiency.  The purpose </w:t>
      </w:r>
      <w:r w:rsidRPr="00331B7A">
        <w:rPr>
          <w:rFonts w:ascii="Arial" w:hAnsi="Arial" w:cs="Arial"/>
        </w:rPr>
        <w:lastRenderedPageBreak/>
        <w:t>of such engagement of the service providers is to accelerate the revenue collection by providing the services at the door step of the consumers for any time payment of their Bills and to reduce the door to door collection by the Company.</w:t>
      </w:r>
    </w:p>
    <w:p w:rsidR="00F80724" w:rsidRPr="00331B7A" w:rsidRDefault="00F80724" w:rsidP="00F80724">
      <w:pPr>
        <w:pStyle w:val="ListParagraph"/>
        <w:jc w:val="both"/>
        <w:rPr>
          <w:rFonts w:ascii="Arial" w:hAnsi="Arial" w:cs="Arial"/>
        </w:rPr>
      </w:pPr>
      <w:r w:rsidRPr="00331B7A">
        <w:rPr>
          <w:rFonts w:ascii="Arial" w:hAnsi="Arial" w:cs="Arial"/>
        </w:rPr>
        <w:t xml:space="preserve">Following service providers assigned with the responsibilities for collection of Electricity bills. </w:t>
      </w:r>
    </w:p>
    <w:p w:rsidR="00F80724" w:rsidRPr="00331B7A" w:rsidRDefault="00F80724" w:rsidP="00CF66A5">
      <w:pPr>
        <w:pStyle w:val="ListParagraph"/>
        <w:numPr>
          <w:ilvl w:val="0"/>
          <w:numId w:val="50"/>
        </w:numPr>
        <w:jc w:val="both"/>
        <w:rPr>
          <w:rFonts w:ascii="Arial" w:hAnsi="Arial" w:cs="Arial"/>
        </w:rPr>
      </w:pPr>
      <w:r w:rsidRPr="00331B7A">
        <w:rPr>
          <w:rFonts w:ascii="Arial" w:hAnsi="Arial" w:cs="Arial"/>
          <w:b/>
        </w:rPr>
        <w:t>Post Offices</w:t>
      </w:r>
      <w:r w:rsidRPr="00331B7A">
        <w:rPr>
          <w:rFonts w:ascii="Arial" w:hAnsi="Arial" w:cs="Arial"/>
        </w:rPr>
        <w:t>- Collection of cash through Post Offices.</w:t>
      </w:r>
    </w:p>
    <w:p w:rsidR="00F80724" w:rsidRPr="00331B7A" w:rsidRDefault="00F80724" w:rsidP="00CF66A5">
      <w:pPr>
        <w:pStyle w:val="ListParagraph"/>
        <w:numPr>
          <w:ilvl w:val="0"/>
          <w:numId w:val="50"/>
        </w:numPr>
        <w:jc w:val="both"/>
        <w:rPr>
          <w:rFonts w:ascii="Arial" w:hAnsi="Arial" w:cs="Arial"/>
        </w:rPr>
      </w:pPr>
      <w:r w:rsidRPr="00331B7A">
        <w:rPr>
          <w:rFonts w:ascii="Arial" w:hAnsi="Arial" w:cs="Arial"/>
          <w:b/>
        </w:rPr>
        <w:t>CSC e-Governance Services India Limited</w:t>
      </w:r>
      <w:r w:rsidRPr="00331B7A">
        <w:rPr>
          <w:rFonts w:ascii="Arial" w:hAnsi="Arial" w:cs="Arial"/>
        </w:rPr>
        <w:t>- Collection of Electricity Bills through CSCs / VLEs.</w:t>
      </w:r>
    </w:p>
    <w:p w:rsidR="00F80724" w:rsidRPr="00331B7A" w:rsidRDefault="00F80724" w:rsidP="00CF66A5">
      <w:pPr>
        <w:pStyle w:val="ListParagraph"/>
        <w:numPr>
          <w:ilvl w:val="0"/>
          <w:numId w:val="50"/>
        </w:numPr>
        <w:jc w:val="both"/>
        <w:rPr>
          <w:rFonts w:ascii="Arial" w:hAnsi="Arial" w:cs="Arial"/>
        </w:rPr>
      </w:pPr>
      <w:r w:rsidRPr="00331B7A">
        <w:rPr>
          <w:rFonts w:ascii="Arial" w:hAnsi="Arial" w:cs="Arial"/>
          <w:b/>
        </w:rPr>
        <w:t>ITZ Cash Card</w:t>
      </w:r>
      <w:r w:rsidRPr="00331B7A">
        <w:rPr>
          <w:rFonts w:ascii="Arial" w:hAnsi="Arial" w:cs="Arial"/>
        </w:rPr>
        <w:t>- Prepaid cash card issued by ITZ Cash card and through their various outlets.</w:t>
      </w:r>
    </w:p>
    <w:p w:rsidR="00F80724" w:rsidRPr="00331B7A" w:rsidRDefault="00F80724" w:rsidP="00CF66A5">
      <w:pPr>
        <w:pStyle w:val="ListParagraph"/>
        <w:numPr>
          <w:ilvl w:val="0"/>
          <w:numId w:val="50"/>
        </w:numPr>
        <w:jc w:val="both"/>
        <w:rPr>
          <w:rFonts w:ascii="Arial" w:hAnsi="Arial" w:cs="Arial"/>
        </w:rPr>
      </w:pPr>
      <w:r w:rsidRPr="00331B7A">
        <w:rPr>
          <w:rFonts w:ascii="Arial" w:hAnsi="Arial" w:cs="Arial"/>
          <w:b/>
        </w:rPr>
        <w:t>ICICI Bank</w:t>
      </w:r>
      <w:r w:rsidRPr="00331B7A">
        <w:rPr>
          <w:rFonts w:ascii="Arial" w:hAnsi="Arial" w:cs="Arial"/>
        </w:rPr>
        <w:t>- Through Debit / Credit card and Net Banking Services.</w:t>
      </w:r>
    </w:p>
    <w:p w:rsidR="00F80724" w:rsidRPr="00331B7A" w:rsidRDefault="00F80724" w:rsidP="00CF66A5">
      <w:pPr>
        <w:pStyle w:val="ListParagraph"/>
        <w:numPr>
          <w:ilvl w:val="0"/>
          <w:numId w:val="50"/>
        </w:numPr>
        <w:jc w:val="both"/>
        <w:rPr>
          <w:rFonts w:ascii="Arial" w:hAnsi="Arial" w:cs="Arial"/>
        </w:rPr>
      </w:pPr>
      <w:r w:rsidRPr="00331B7A">
        <w:rPr>
          <w:rFonts w:ascii="Arial" w:hAnsi="Arial" w:cs="Arial"/>
          <w:b/>
        </w:rPr>
        <w:t>Atom Technology</w:t>
      </w:r>
      <w:r w:rsidRPr="00331B7A">
        <w:rPr>
          <w:rFonts w:ascii="Arial" w:hAnsi="Arial" w:cs="Arial"/>
        </w:rPr>
        <w:t>- Payment Gateway (PG) Services , through Debit / Credit card and Net Banking Services (28 Banks including SBI, UBI, Indian Bank, HDFC Bank)</w:t>
      </w:r>
    </w:p>
    <w:p w:rsidR="00F80724" w:rsidRPr="00331B7A" w:rsidRDefault="00F80724" w:rsidP="00CF66A5">
      <w:pPr>
        <w:pStyle w:val="ListParagraph"/>
        <w:numPr>
          <w:ilvl w:val="0"/>
          <w:numId w:val="50"/>
        </w:numPr>
        <w:jc w:val="both"/>
        <w:rPr>
          <w:rFonts w:ascii="Arial" w:hAnsi="Arial" w:cs="Arial"/>
          <w:b/>
        </w:rPr>
      </w:pPr>
      <w:r w:rsidRPr="00331B7A">
        <w:rPr>
          <w:rFonts w:ascii="Arial" w:hAnsi="Arial" w:cs="Arial"/>
          <w:b/>
        </w:rPr>
        <w:t>Billdesk</w:t>
      </w:r>
    </w:p>
    <w:p w:rsidR="00F80724" w:rsidRPr="00331B7A" w:rsidRDefault="00F80724" w:rsidP="00CF66A5">
      <w:pPr>
        <w:pStyle w:val="ListParagraph"/>
        <w:numPr>
          <w:ilvl w:val="0"/>
          <w:numId w:val="51"/>
        </w:numPr>
        <w:jc w:val="both"/>
        <w:rPr>
          <w:rFonts w:ascii="Arial" w:hAnsi="Arial" w:cs="Arial"/>
        </w:rPr>
      </w:pPr>
      <w:r w:rsidRPr="00331B7A">
        <w:rPr>
          <w:rFonts w:ascii="Arial" w:hAnsi="Arial" w:cs="Arial"/>
        </w:rPr>
        <w:t>Payment Gateway (PG) Services , through Debit / Credit card and Net Banking Services (50 Banks including SBI, UBI, Indian Bank, HDFC Bank)</w:t>
      </w:r>
    </w:p>
    <w:p w:rsidR="00F80724" w:rsidRPr="00331B7A" w:rsidRDefault="00F80724" w:rsidP="00CF66A5">
      <w:pPr>
        <w:pStyle w:val="ListParagraph"/>
        <w:numPr>
          <w:ilvl w:val="0"/>
          <w:numId w:val="51"/>
        </w:numPr>
        <w:jc w:val="both"/>
        <w:rPr>
          <w:rFonts w:ascii="Arial" w:hAnsi="Arial" w:cs="Arial"/>
        </w:rPr>
      </w:pPr>
      <w:r w:rsidRPr="00331B7A">
        <w:rPr>
          <w:rFonts w:ascii="Arial" w:hAnsi="Arial" w:cs="Arial"/>
        </w:rPr>
        <w:t>EBPP Services- Through Airtel  Money &amp; Vodaphone m-paisa</w:t>
      </w:r>
    </w:p>
    <w:p w:rsidR="00F80724" w:rsidRPr="00331B7A" w:rsidRDefault="00F80724" w:rsidP="00CF66A5">
      <w:pPr>
        <w:pStyle w:val="ListParagraph"/>
        <w:numPr>
          <w:ilvl w:val="0"/>
          <w:numId w:val="50"/>
        </w:numPr>
        <w:jc w:val="both"/>
        <w:rPr>
          <w:rFonts w:ascii="Arial" w:hAnsi="Arial" w:cs="Arial"/>
        </w:rPr>
      </w:pPr>
      <w:r w:rsidRPr="00331B7A">
        <w:rPr>
          <w:rFonts w:ascii="Arial" w:hAnsi="Arial" w:cs="Arial"/>
          <w:b/>
        </w:rPr>
        <w:t>Easy bill</w:t>
      </w:r>
      <w:r w:rsidRPr="00331B7A">
        <w:rPr>
          <w:rFonts w:ascii="Arial" w:hAnsi="Arial" w:cs="Arial"/>
        </w:rPr>
        <w:t>- In various Easy Bill Outlets in the Jurisdiction of Discoms Areas. Consumer can produce the Electricity bills and operator of the respective centre shall receive the payment amount indicated in the bill in cash.</w:t>
      </w:r>
    </w:p>
    <w:p w:rsidR="00F80724" w:rsidRPr="00331B7A" w:rsidRDefault="00F80724" w:rsidP="00CF66A5">
      <w:pPr>
        <w:pStyle w:val="ListParagraph"/>
        <w:numPr>
          <w:ilvl w:val="0"/>
          <w:numId w:val="50"/>
        </w:numPr>
        <w:jc w:val="both"/>
        <w:rPr>
          <w:rFonts w:ascii="Arial" w:hAnsi="Arial" w:cs="Arial"/>
        </w:rPr>
      </w:pPr>
      <w:r w:rsidRPr="00331B7A">
        <w:rPr>
          <w:rFonts w:ascii="Arial" w:hAnsi="Arial" w:cs="Arial"/>
          <w:b/>
        </w:rPr>
        <w:t>Suvidha Outlets</w:t>
      </w:r>
      <w:r w:rsidRPr="00331B7A">
        <w:rPr>
          <w:rFonts w:ascii="Arial" w:hAnsi="Arial" w:cs="Arial"/>
        </w:rPr>
        <w:t>-In various Suvidha Outlets in the Jurisdiction in NESCO &amp; SOUTHCO areas. Consumer can produce the Electricity bill to any Suvidha centre for payment of the amount indicated in the bill in cash.</w:t>
      </w:r>
    </w:p>
    <w:p w:rsidR="00F80724" w:rsidRPr="00331B7A" w:rsidRDefault="00F80724" w:rsidP="00CF66A5">
      <w:pPr>
        <w:pStyle w:val="ListParagraph"/>
        <w:numPr>
          <w:ilvl w:val="0"/>
          <w:numId w:val="50"/>
        </w:numPr>
        <w:jc w:val="both"/>
        <w:rPr>
          <w:rFonts w:ascii="Arial" w:hAnsi="Arial" w:cs="Arial"/>
        </w:rPr>
      </w:pPr>
      <w:r w:rsidRPr="00331B7A">
        <w:rPr>
          <w:rFonts w:ascii="Arial" w:hAnsi="Arial" w:cs="Arial"/>
          <w:b/>
        </w:rPr>
        <w:t>M/s Oxygen</w:t>
      </w:r>
      <w:r w:rsidRPr="00331B7A">
        <w:rPr>
          <w:rFonts w:ascii="Arial" w:hAnsi="Arial" w:cs="Arial"/>
        </w:rPr>
        <w:t>- For mobile collection of Electricity Bills from the consumers through their hand hold machines of NESCO Areas.</w:t>
      </w:r>
    </w:p>
    <w:p w:rsidR="00F80724" w:rsidRPr="00331B7A" w:rsidRDefault="00F80724" w:rsidP="00F80724">
      <w:pPr>
        <w:pStyle w:val="ListParagraph"/>
        <w:jc w:val="both"/>
        <w:rPr>
          <w:rFonts w:ascii="Arial" w:hAnsi="Arial" w:cs="Arial"/>
        </w:rPr>
      </w:pPr>
    </w:p>
    <w:p w:rsidR="00F80724" w:rsidRPr="00331B7A" w:rsidRDefault="00F80724" w:rsidP="00F80724">
      <w:pPr>
        <w:pStyle w:val="ListParagraph"/>
        <w:jc w:val="both"/>
        <w:rPr>
          <w:rFonts w:ascii="Arial" w:hAnsi="Arial" w:cs="Arial"/>
        </w:rPr>
      </w:pPr>
      <w:r w:rsidRPr="00331B7A">
        <w:rPr>
          <w:rFonts w:ascii="Arial" w:hAnsi="Arial" w:cs="Arial"/>
        </w:rPr>
        <w:t>A brief summary of the terms and conditions of the service providers are given in the following Table.</w:t>
      </w:r>
    </w:p>
    <w:p w:rsidR="00F80724" w:rsidRPr="0073291A" w:rsidRDefault="00F80724" w:rsidP="00F80724">
      <w:pPr>
        <w:rPr>
          <w:rFonts w:ascii="Calibri" w:hAnsi="Calibri" w:cs="Calibri"/>
        </w:rPr>
        <w:sectPr w:rsidR="00F80724" w:rsidRPr="0073291A" w:rsidSect="00E52EAD">
          <w:headerReference w:type="default" r:id="rId8"/>
          <w:footerReference w:type="default" r:id="rId9"/>
          <w:pgSz w:w="11907" w:h="16839" w:code="9"/>
          <w:pgMar w:top="1440" w:right="1152" w:bottom="1440" w:left="1440" w:header="720" w:footer="720" w:gutter="0"/>
          <w:cols w:space="720"/>
          <w:docGrid w:linePitch="360"/>
        </w:sectPr>
      </w:pPr>
    </w:p>
    <w:tbl>
      <w:tblPr>
        <w:tblpPr w:leftFromText="180" w:rightFromText="180" w:horzAnchor="margin" w:tblpXSpec="center" w:tblpY="-750"/>
        <w:tblW w:w="10548" w:type="dxa"/>
        <w:tblLook w:val="04A0"/>
      </w:tblPr>
      <w:tblGrid>
        <w:gridCol w:w="990"/>
        <w:gridCol w:w="1368"/>
        <w:gridCol w:w="3060"/>
        <w:gridCol w:w="1758"/>
        <w:gridCol w:w="3372"/>
      </w:tblGrid>
      <w:tr w:rsidR="00F80724" w:rsidRPr="002C3CA2" w:rsidTr="00E52EAD">
        <w:trPr>
          <w:trHeight w:val="525"/>
        </w:trPr>
        <w:tc>
          <w:tcPr>
            <w:tcW w:w="10548" w:type="dxa"/>
            <w:gridSpan w:val="5"/>
            <w:tcBorders>
              <w:top w:val="nil"/>
              <w:left w:val="nil"/>
              <w:bottom w:val="nil"/>
              <w:right w:val="nil"/>
            </w:tcBorders>
            <w:shd w:val="clear" w:color="auto" w:fill="auto"/>
            <w:noWrap/>
            <w:vAlign w:val="bottom"/>
            <w:hideMark/>
          </w:tcPr>
          <w:p w:rsidR="00F80724" w:rsidRPr="002C3CA2" w:rsidRDefault="00F80724" w:rsidP="00E52EAD">
            <w:pPr>
              <w:jc w:val="right"/>
              <w:rPr>
                <w:rFonts w:ascii="Calibri" w:hAnsi="Calibri" w:cs="Calibri"/>
                <w:b/>
                <w:bCs/>
                <w:color w:val="000000"/>
                <w:szCs w:val="40"/>
              </w:rPr>
            </w:pPr>
          </w:p>
        </w:tc>
      </w:tr>
      <w:tr w:rsidR="00F80724" w:rsidRPr="002C3CA2" w:rsidTr="00E52EAD">
        <w:trPr>
          <w:trHeight w:val="585"/>
        </w:trPr>
        <w:tc>
          <w:tcPr>
            <w:tcW w:w="105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F80724" w:rsidRPr="002C3CA2" w:rsidRDefault="00F80724" w:rsidP="00E52EAD">
            <w:pPr>
              <w:jc w:val="center"/>
              <w:rPr>
                <w:rFonts w:ascii="Calibri" w:hAnsi="Calibri" w:cs="Calibri"/>
                <w:b/>
                <w:bCs/>
                <w:szCs w:val="40"/>
              </w:rPr>
            </w:pPr>
            <w:r w:rsidRPr="008A305A">
              <w:rPr>
                <w:rFonts w:ascii="Calibri" w:hAnsi="Calibri" w:cs="Calibri"/>
                <w:b/>
                <w:bCs/>
                <w:sz w:val="28"/>
                <w:szCs w:val="40"/>
              </w:rPr>
              <w:t xml:space="preserve">Initiatives for Alternate Modes </w:t>
            </w:r>
            <w:r>
              <w:rPr>
                <w:rFonts w:ascii="Calibri" w:hAnsi="Calibri" w:cs="Calibri"/>
                <w:b/>
                <w:bCs/>
                <w:sz w:val="28"/>
                <w:szCs w:val="40"/>
              </w:rPr>
              <w:t>for payment</w:t>
            </w:r>
          </w:p>
        </w:tc>
      </w:tr>
      <w:tr w:rsidR="00F80724" w:rsidRPr="002C3CA2" w:rsidTr="00E52EAD">
        <w:trPr>
          <w:trHeight w:val="1155"/>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F80724" w:rsidRPr="008A305A" w:rsidRDefault="00F80724" w:rsidP="00E52EAD">
            <w:pPr>
              <w:jc w:val="center"/>
              <w:rPr>
                <w:rFonts w:ascii="Calibri" w:hAnsi="Calibri" w:cs="Calibri"/>
                <w:b/>
                <w:bCs/>
                <w:color w:val="000000"/>
              </w:rPr>
            </w:pPr>
            <w:r w:rsidRPr="008A305A">
              <w:rPr>
                <w:rFonts w:ascii="Calibri" w:hAnsi="Calibri" w:cs="Calibri"/>
                <w:b/>
                <w:bCs/>
                <w:color w:val="000000"/>
                <w:sz w:val="22"/>
              </w:rPr>
              <w:t xml:space="preserve">Sl. No.  </w:t>
            </w:r>
          </w:p>
        </w:tc>
        <w:tc>
          <w:tcPr>
            <w:tcW w:w="1368"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jc w:val="center"/>
              <w:rPr>
                <w:rFonts w:ascii="Calibri" w:hAnsi="Calibri" w:cs="Calibri"/>
                <w:b/>
                <w:bCs/>
                <w:color w:val="000000"/>
              </w:rPr>
            </w:pPr>
            <w:r w:rsidRPr="008A305A">
              <w:rPr>
                <w:rFonts w:ascii="Calibri" w:hAnsi="Calibri" w:cs="Calibri"/>
                <w:b/>
                <w:bCs/>
                <w:color w:val="000000"/>
                <w:sz w:val="22"/>
              </w:rPr>
              <w:t xml:space="preserve">Name of Service Provider  </w:t>
            </w:r>
          </w:p>
        </w:tc>
        <w:tc>
          <w:tcPr>
            <w:tcW w:w="3060"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jc w:val="center"/>
              <w:rPr>
                <w:rFonts w:ascii="Calibri" w:hAnsi="Calibri" w:cs="Calibri"/>
                <w:b/>
                <w:bCs/>
                <w:color w:val="000000"/>
              </w:rPr>
            </w:pPr>
            <w:r w:rsidRPr="008A305A">
              <w:rPr>
                <w:rFonts w:ascii="Calibri" w:hAnsi="Calibri" w:cs="Calibri"/>
                <w:b/>
                <w:bCs/>
                <w:color w:val="000000"/>
                <w:sz w:val="22"/>
              </w:rPr>
              <w:t xml:space="preserve">Online / Offline </w:t>
            </w:r>
            <w:r>
              <w:rPr>
                <w:rFonts w:ascii="Calibri" w:hAnsi="Calibri" w:cs="Calibri"/>
                <w:b/>
                <w:bCs/>
                <w:color w:val="000000"/>
                <w:sz w:val="22"/>
              </w:rPr>
              <w:t>payment option</w:t>
            </w:r>
          </w:p>
        </w:tc>
        <w:tc>
          <w:tcPr>
            <w:tcW w:w="1758"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jc w:val="center"/>
              <w:rPr>
                <w:rFonts w:ascii="Calibri" w:hAnsi="Calibri" w:cs="Calibri"/>
                <w:b/>
                <w:bCs/>
                <w:color w:val="000000"/>
              </w:rPr>
            </w:pPr>
            <w:r w:rsidRPr="008A305A">
              <w:rPr>
                <w:rFonts w:ascii="Calibri" w:hAnsi="Calibri" w:cs="Calibri"/>
                <w:b/>
                <w:bCs/>
                <w:color w:val="000000"/>
                <w:sz w:val="22"/>
              </w:rPr>
              <w:t>Effective from</w:t>
            </w:r>
          </w:p>
        </w:tc>
        <w:tc>
          <w:tcPr>
            <w:tcW w:w="3372"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jc w:val="center"/>
              <w:rPr>
                <w:rFonts w:ascii="Calibri" w:hAnsi="Calibri" w:cs="Calibri"/>
                <w:b/>
                <w:bCs/>
                <w:color w:val="000000"/>
              </w:rPr>
            </w:pPr>
            <w:r w:rsidRPr="008A305A">
              <w:rPr>
                <w:rFonts w:ascii="Calibri" w:hAnsi="Calibri" w:cs="Calibri"/>
                <w:b/>
                <w:bCs/>
                <w:color w:val="000000"/>
                <w:sz w:val="22"/>
              </w:rPr>
              <w:t>Terms and ConditionFees / Charges</w:t>
            </w:r>
          </w:p>
        </w:tc>
      </w:tr>
      <w:tr w:rsidR="00F80724" w:rsidRPr="002C3CA2" w:rsidTr="00E52EAD">
        <w:trPr>
          <w:trHeight w:val="1487"/>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F80724" w:rsidRPr="008A305A" w:rsidRDefault="00F80724" w:rsidP="00E52EAD">
            <w:pPr>
              <w:jc w:val="center"/>
              <w:rPr>
                <w:rFonts w:ascii="Calibri" w:hAnsi="Calibri" w:cs="Calibri"/>
                <w:color w:val="000000"/>
                <w:szCs w:val="28"/>
              </w:rPr>
            </w:pPr>
            <w:r w:rsidRPr="008A305A">
              <w:rPr>
                <w:rFonts w:ascii="Calibri" w:hAnsi="Calibri" w:cs="Calibri"/>
                <w:color w:val="000000"/>
                <w:sz w:val="22"/>
                <w:szCs w:val="28"/>
              </w:rPr>
              <w:t>1</w:t>
            </w:r>
          </w:p>
        </w:tc>
        <w:tc>
          <w:tcPr>
            <w:tcW w:w="1368"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rPr>
                <w:rFonts w:ascii="Calibri" w:hAnsi="Calibri" w:cs="Calibri"/>
                <w:b/>
                <w:bCs/>
                <w:color w:val="000000"/>
                <w:szCs w:val="28"/>
              </w:rPr>
            </w:pPr>
            <w:r w:rsidRPr="008A305A">
              <w:rPr>
                <w:rFonts w:ascii="Calibri" w:hAnsi="Calibri" w:cs="Calibri"/>
                <w:b/>
                <w:bCs/>
                <w:color w:val="000000"/>
                <w:sz w:val="22"/>
                <w:szCs w:val="28"/>
              </w:rPr>
              <w:t xml:space="preserve">Post Office </w:t>
            </w:r>
          </w:p>
        </w:tc>
        <w:tc>
          <w:tcPr>
            <w:tcW w:w="3060"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rPr>
                <w:rFonts w:ascii="Calibri" w:hAnsi="Calibri" w:cs="Calibri"/>
                <w:color w:val="000000"/>
                <w:szCs w:val="28"/>
              </w:rPr>
            </w:pPr>
            <w:r w:rsidRPr="008A305A">
              <w:rPr>
                <w:rFonts w:ascii="Calibri" w:hAnsi="Calibri" w:cs="Calibri"/>
                <w:color w:val="000000"/>
                <w:sz w:val="22"/>
                <w:szCs w:val="28"/>
              </w:rPr>
              <w:t>All post offices / Sub post offices  (4895 nos P.Os in WESCO, NESCO &amp; SOUTHCO area)</w:t>
            </w:r>
          </w:p>
        </w:tc>
        <w:tc>
          <w:tcPr>
            <w:tcW w:w="1758"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jc w:val="center"/>
              <w:rPr>
                <w:rFonts w:ascii="Calibri" w:hAnsi="Calibri" w:cs="Calibri"/>
                <w:color w:val="000000"/>
                <w:szCs w:val="28"/>
              </w:rPr>
            </w:pPr>
            <w:r w:rsidRPr="008A305A">
              <w:rPr>
                <w:rFonts w:ascii="Calibri" w:hAnsi="Calibri" w:cs="Calibri"/>
                <w:color w:val="000000"/>
                <w:sz w:val="22"/>
                <w:szCs w:val="28"/>
              </w:rPr>
              <w:t xml:space="preserve">22.01.2014  </w:t>
            </w:r>
          </w:p>
        </w:tc>
        <w:tc>
          <w:tcPr>
            <w:tcW w:w="3372"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rPr>
                <w:rFonts w:ascii="Calibri" w:hAnsi="Calibri" w:cs="Calibri"/>
                <w:color w:val="000000"/>
                <w:szCs w:val="28"/>
              </w:rPr>
            </w:pPr>
            <w:r w:rsidRPr="008A305A">
              <w:rPr>
                <w:rFonts w:ascii="Calibri" w:hAnsi="Calibri" w:cs="Calibri"/>
                <w:b/>
                <w:bCs/>
                <w:color w:val="000000"/>
                <w:sz w:val="22"/>
                <w:szCs w:val="28"/>
              </w:rPr>
              <w:t>Bills UP to Rs.1000/- = Rs.5/</w:t>
            </w:r>
            <w:r w:rsidRPr="008A305A">
              <w:rPr>
                <w:rFonts w:ascii="Calibri" w:hAnsi="Calibri" w:cs="Calibri"/>
                <w:color w:val="000000"/>
                <w:sz w:val="22"/>
                <w:szCs w:val="28"/>
              </w:rPr>
              <w:t>-, Rs.1001/- to Rs.2500/-= Rs.10/-, Rs.2501/- to Rs.5000/- = Rs.15/- &amp; Above Rs.5000/-= Rs.20/- (Plus service tax) paid by Discoms, No cost to consumers.</w:t>
            </w:r>
          </w:p>
        </w:tc>
      </w:tr>
      <w:tr w:rsidR="00F80724" w:rsidRPr="002C3CA2" w:rsidTr="00E52EAD">
        <w:trPr>
          <w:trHeight w:val="1530"/>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F80724" w:rsidRPr="008A305A" w:rsidRDefault="00F80724" w:rsidP="00E52EAD">
            <w:pPr>
              <w:jc w:val="center"/>
              <w:rPr>
                <w:rFonts w:ascii="Calibri" w:hAnsi="Calibri" w:cs="Calibri"/>
                <w:color w:val="000000"/>
                <w:szCs w:val="28"/>
              </w:rPr>
            </w:pPr>
            <w:r w:rsidRPr="008A305A">
              <w:rPr>
                <w:rFonts w:ascii="Calibri" w:hAnsi="Calibri" w:cs="Calibri"/>
                <w:color w:val="000000"/>
                <w:sz w:val="22"/>
                <w:szCs w:val="28"/>
              </w:rPr>
              <w:t>2</w:t>
            </w:r>
          </w:p>
        </w:tc>
        <w:tc>
          <w:tcPr>
            <w:tcW w:w="1368"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rPr>
                <w:rFonts w:ascii="Calibri" w:hAnsi="Calibri" w:cs="Calibri"/>
                <w:b/>
                <w:bCs/>
                <w:color w:val="000000"/>
                <w:szCs w:val="28"/>
              </w:rPr>
            </w:pPr>
            <w:r w:rsidRPr="008A305A">
              <w:rPr>
                <w:rFonts w:ascii="Calibri" w:hAnsi="Calibri" w:cs="Calibri"/>
                <w:b/>
                <w:bCs/>
                <w:color w:val="000000"/>
                <w:sz w:val="22"/>
                <w:szCs w:val="28"/>
              </w:rPr>
              <w:t>CSC e-Governance Services India Limited</w:t>
            </w:r>
          </w:p>
        </w:tc>
        <w:tc>
          <w:tcPr>
            <w:tcW w:w="3060"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rPr>
                <w:rFonts w:ascii="Calibri" w:hAnsi="Calibri" w:cs="Calibri"/>
                <w:color w:val="000000"/>
                <w:szCs w:val="28"/>
              </w:rPr>
            </w:pPr>
            <w:r w:rsidRPr="008A305A">
              <w:rPr>
                <w:rFonts w:ascii="Calibri" w:hAnsi="Calibri" w:cs="Calibri"/>
                <w:color w:val="000000"/>
                <w:sz w:val="22"/>
                <w:szCs w:val="28"/>
              </w:rPr>
              <w:t>Collection through Common Service Centers (4340 CSC / VLs centers in WESCO, NESCO &amp; SOUTHCO area)</w:t>
            </w:r>
          </w:p>
        </w:tc>
        <w:tc>
          <w:tcPr>
            <w:tcW w:w="1758"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jc w:val="center"/>
              <w:rPr>
                <w:rFonts w:ascii="Calibri" w:hAnsi="Calibri" w:cs="Calibri"/>
                <w:color w:val="000000"/>
                <w:szCs w:val="28"/>
              </w:rPr>
            </w:pPr>
            <w:r w:rsidRPr="008A305A">
              <w:rPr>
                <w:rFonts w:ascii="Calibri" w:hAnsi="Calibri" w:cs="Calibri"/>
                <w:color w:val="000000"/>
                <w:sz w:val="22"/>
                <w:szCs w:val="28"/>
              </w:rPr>
              <w:t>28.07.2014</w:t>
            </w:r>
          </w:p>
        </w:tc>
        <w:tc>
          <w:tcPr>
            <w:tcW w:w="3372"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rPr>
                <w:rFonts w:ascii="Calibri" w:hAnsi="Calibri" w:cs="Calibri"/>
                <w:color w:val="000000"/>
                <w:szCs w:val="28"/>
              </w:rPr>
            </w:pPr>
            <w:r w:rsidRPr="008A305A">
              <w:rPr>
                <w:rFonts w:ascii="Calibri" w:hAnsi="Calibri" w:cs="Calibri"/>
                <w:b/>
                <w:bCs/>
                <w:color w:val="000000"/>
                <w:sz w:val="22"/>
                <w:szCs w:val="28"/>
              </w:rPr>
              <w:t xml:space="preserve">Rs.5/- per transaction </w:t>
            </w:r>
            <w:r w:rsidRPr="008A305A">
              <w:rPr>
                <w:rFonts w:ascii="Calibri" w:hAnsi="Calibri" w:cs="Calibri"/>
                <w:color w:val="000000"/>
                <w:sz w:val="22"/>
                <w:szCs w:val="28"/>
              </w:rPr>
              <w:t>plus service Taxes. Paid by Discoms . No cost to consumers.</w:t>
            </w:r>
          </w:p>
        </w:tc>
      </w:tr>
      <w:tr w:rsidR="00F80724" w:rsidRPr="002C3CA2" w:rsidTr="00E52EAD">
        <w:trPr>
          <w:trHeight w:val="2835"/>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F80724" w:rsidRPr="008A305A" w:rsidRDefault="00F80724" w:rsidP="00E52EAD">
            <w:pPr>
              <w:jc w:val="center"/>
              <w:rPr>
                <w:rFonts w:ascii="Calibri" w:hAnsi="Calibri" w:cs="Calibri"/>
                <w:color w:val="000000"/>
                <w:szCs w:val="28"/>
              </w:rPr>
            </w:pPr>
            <w:r w:rsidRPr="008A305A">
              <w:rPr>
                <w:rFonts w:ascii="Calibri" w:hAnsi="Calibri" w:cs="Calibri"/>
                <w:color w:val="000000"/>
                <w:sz w:val="22"/>
                <w:szCs w:val="28"/>
              </w:rPr>
              <w:t>3</w:t>
            </w:r>
          </w:p>
        </w:tc>
        <w:tc>
          <w:tcPr>
            <w:tcW w:w="1368"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rPr>
                <w:rFonts w:ascii="Calibri" w:hAnsi="Calibri" w:cs="Calibri"/>
                <w:b/>
                <w:bCs/>
                <w:color w:val="000000"/>
                <w:szCs w:val="28"/>
              </w:rPr>
            </w:pPr>
            <w:r w:rsidRPr="008A305A">
              <w:rPr>
                <w:rFonts w:ascii="Calibri" w:hAnsi="Calibri" w:cs="Calibri"/>
                <w:b/>
                <w:bCs/>
                <w:color w:val="000000"/>
                <w:sz w:val="22"/>
                <w:szCs w:val="28"/>
              </w:rPr>
              <w:t xml:space="preserve">Bill Desk </w:t>
            </w:r>
          </w:p>
        </w:tc>
        <w:tc>
          <w:tcPr>
            <w:tcW w:w="3060"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rPr>
                <w:rFonts w:ascii="Calibri" w:hAnsi="Calibri" w:cs="Calibri"/>
                <w:color w:val="000000"/>
                <w:szCs w:val="28"/>
              </w:rPr>
            </w:pPr>
            <w:r w:rsidRPr="008A305A">
              <w:rPr>
                <w:rFonts w:ascii="Calibri" w:hAnsi="Calibri" w:cs="Calibri"/>
                <w:color w:val="000000"/>
                <w:sz w:val="22"/>
                <w:szCs w:val="28"/>
              </w:rPr>
              <w:t>1. Through Debit / Credit Ca</w:t>
            </w:r>
            <w:r>
              <w:rPr>
                <w:rFonts w:ascii="Calibri" w:hAnsi="Calibri" w:cs="Calibri"/>
                <w:color w:val="000000"/>
                <w:sz w:val="22"/>
                <w:szCs w:val="28"/>
              </w:rPr>
              <w:t>rd and Net Banking services 50</w:t>
            </w:r>
            <w:r w:rsidRPr="008A305A">
              <w:rPr>
                <w:rFonts w:ascii="Calibri" w:hAnsi="Calibri" w:cs="Calibri"/>
                <w:color w:val="000000"/>
                <w:sz w:val="22"/>
                <w:szCs w:val="28"/>
              </w:rPr>
              <w:t>Banks</w:t>
            </w:r>
            <w:r>
              <w:rPr>
                <w:rFonts w:ascii="Calibri" w:hAnsi="Calibri" w:cs="Calibri"/>
                <w:color w:val="000000"/>
                <w:sz w:val="22"/>
                <w:szCs w:val="28"/>
              </w:rPr>
              <w:t>, listed below</w:t>
            </w:r>
            <w:r w:rsidRPr="008A305A">
              <w:rPr>
                <w:rFonts w:ascii="Calibri" w:hAnsi="Calibri" w:cs="Calibri"/>
                <w:color w:val="000000"/>
                <w:sz w:val="22"/>
                <w:szCs w:val="28"/>
              </w:rPr>
              <w:t xml:space="preserve">  , 2. EBPP BillPay Facility  through Airtel money, Vodafone m paise etc</w:t>
            </w:r>
          </w:p>
        </w:tc>
        <w:tc>
          <w:tcPr>
            <w:tcW w:w="1758"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jc w:val="center"/>
              <w:rPr>
                <w:rFonts w:ascii="Calibri" w:hAnsi="Calibri" w:cs="Calibri"/>
                <w:color w:val="000000"/>
                <w:szCs w:val="28"/>
              </w:rPr>
            </w:pPr>
            <w:r w:rsidRPr="008A305A">
              <w:rPr>
                <w:rFonts w:ascii="Calibri" w:hAnsi="Calibri" w:cs="Calibri"/>
                <w:color w:val="000000"/>
                <w:sz w:val="22"/>
                <w:szCs w:val="28"/>
              </w:rPr>
              <w:t>13.09.2012</w:t>
            </w:r>
          </w:p>
        </w:tc>
        <w:tc>
          <w:tcPr>
            <w:tcW w:w="3372"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rPr>
                <w:rFonts w:ascii="Calibri" w:hAnsi="Calibri" w:cs="Calibri"/>
                <w:color w:val="000000"/>
                <w:szCs w:val="28"/>
              </w:rPr>
            </w:pPr>
            <w:r w:rsidRPr="008A305A">
              <w:rPr>
                <w:rFonts w:ascii="Calibri" w:hAnsi="Calibri" w:cs="Calibri"/>
                <w:b/>
                <w:bCs/>
                <w:color w:val="000000"/>
                <w:sz w:val="22"/>
                <w:szCs w:val="28"/>
              </w:rPr>
              <w:t xml:space="preserve"> Debit, Credit /Pre-Paid</w:t>
            </w:r>
            <w:r w:rsidRPr="008A305A">
              <w:rPr>
                <w:rFonts w:ascii="Calibri" w:hAnsi="Calibri" w:cs="Calibri"/>
                <w:color w:val="000000"/>
                <w:sz w:val="22"/>
                <w:szCs w:val="28"/>
              </w:rPr>
              <w:t xml:space="preserve"> = 1.1% of Customer Payment Amount</w:t>
            </w:r>
            <w:r>
              <w:rPr>
                <w:rFonts w:ascii="Calibri" w:hAnsi="Calibri" w:cs="Calibri"/>
                <w:color w:val="000000"/>
                <w:sz w:val="22"/>
                <w:szCs w:val="28"/>
              </w:rPr>
              <w:t xml:space="preserve"> towards VISA / MASTER / MESTRO Charges s</w:t>
            </w:r>
            <w:r w:rsidRPr="008A305A">
              <w:rPr>
                <w:rFonts w:ascii="Calibri" w:hAnsi="Calibri" w:cs="Calibri"/>
                <w:color w:val="000000"/>
                <w:sz w:val="22"/>
                <w:szCs w:val="28"/>
              </w:rPr>
              <w:t>ubjected to minimum Rs.5/- per transaction. To be surcharged to the customer.</w:t>
            </w:r>
            <w:r w:rsidRPr="008A305A">
              <w:rPr>
                <w:rFonts w:ascii="Calibri" w:hAnsi="Calibri" w:cs="Calibri"/>
                <w:b/>
                <w:bCs/>
                <w:color w:val="000000"/>
                <w:sz w:val="22"/>
                <w:szCs w:val="28"/>
              </w:rPr>
              <w:t>Net Banking</w:t>
            </w:r>
            <w:r w:rsidRPr="008A305A">
              <w:rPr>
                <w:rFonts w:ascii="Calibri" w:hAnsi="Calibri" w:cs="Calibri"/>
                <w:color w:val="000000"/>
                <w:sz w:val="22"/>
                <w:szCs w:val="28"/>
              </w:rPr>
              <w:t xml:space="preserve"> = Rs.5/Per Transaction Processed from Consumers, </w:t>
            </w:r>
            <w:r w:rsidRPr="008A305A">
              <w:rPr>
                <w:rFonts w:ascii="Calibri" w:hAnsi="Calibri" w:cs="Calibri"/>
                <w:b/>
                <w:bCs/>
                <w:color w:val="000000"/>
                <w:sz w:val="22"/>
                <w:szCs w:val="28"/>
              </w:rPr>
              <w:t>EBPP BillPay Facility</w:t>
            </w:r>
            <w:r w:rsidRPr="008A305A">
              <w:rPr>
                <w:rFonts w:ascii="Calibri" w:hAnsi="Calibri" w:cs="Calibri"/>
                <w:color w:val="000000"/>
                <w:sz w:val="22"/>
                <w:szCs w:val="28"/>
              </w:rPr>
              <w:t xml:space="preserve"> = Rs. 3.50 Per Transaction Processed through EBPP from DISCOM. </w:t>
            </w:r>
          </w:p>
        </w:tc>
      </w:tr>
      <w:tr w:rsidR="00F80724" w:rsidRPr="002C3CA2" w:rsidTr="00E52EAD">
        <w:trPr>
          <w:trHeight w:val="3540"/>
        </w:trPr>
        <w:tc>
          <w:tcPr>
            <w:tcW w:w="10548"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F80724" w:rsidRPr="008A305A" w:rsidRDefault="00F80724" w:rsidP="00E52EAD">
            <w:pPr>
              <w:rPr>
                <w:rFonts w:ascii="Calibri" w:hAnsi="Calibri" w:cs="Calibri"/>
                <w:color w:val="000000"/>
                <w:szCs w:val="28"/>
              </w:rPr>
            </w:pPr>
            <w:r w:rsidRPr="008A305A">
              <w:rPr>
                <w:rFonts w:ascii="Calibri" w:hAnsi="Calibri" w:cs="Calibri"/>
                <w:b/>
                <w:bCs/>
                <w:color w:val="000000"/>
                <w:sz w:val="22"/>
                <w:szCs w:val="28"/>
              </w:rPr>
              <w:t>List of Banks for net banking:</w:t>
            </w:r>
            <w:r>
              <w:rPr>
                <w:rFonts w:ascii="Calibri" w:hAnsi="Calibri" w:cs="Calibri"/>
                <w:color w:val="000000"/>
                <w:sz w:val="22"/>
                <w:szCs w:val="28"/>
              </w:rPr>
              <w:t>1</w:t>
            </w:r>
            <w:r w:rsidRPr="008A305A">
              <w:rPr>
                <w:rFonts w:ascii="Calibri" w:hAnsi="Calibri" w:cs="Calibri"/>
                <w:color w:val="000000"/>
                <w:sz w:val="22"/>
                <w:szCs w:val="28"/>
              </w:rPr>
              <w:t>. State Bank of India</w:t>
            </w:r>
            <w:r>
              <w:rPr>
                <w:rFonts w:ascii="Calibri" w:hAnsi="Calibri" w:cs="Calibri"/>
                <w:color w:val="000000"/>
                <w:sz w:val="22"/>
                <w:szCs w:val="28"/>
              </w:rPr>
              <w:t>, 2.</w:t>
            </w:r>
            <w:r w:rsidRPr="008A305A">
              <w:rPr>
                <w:rFonts w:ascii="Calibri" w:hAnsi="Calibri" w:cs="Calibri"/>
                <w:color w:val="000000"/>
                <w:sz w:val="22"/>
                <w:szCs w:val="28"/>
              </w:rPr>
              <w:t xml:space="preserve">  United Bank of India </w:t>
            </w:r>
            <w:r>
              <w:rPr>
                <w:rFonts w:ascii="Calibri" w:hAnsi="Calibri" w:cs="Calibri"/>
                <w:color w:val="000000"/>
                <w:sz w:val="22"/>
                <w:szCs w:val="28"/>
              </w:rPr>
              <w:t>3</w:t>
            </w:r>
            <w:r w:rsidRPr="008A305A">
              <w:rPr>
                <w:rFonts w:ascii="Calibri" w:hAnsi="Calibri" w:cs="Calibri"/>
                <w:color w:val="000000"/>
                <w:sz w:val="22"/>
                <w:szCs w:val="28"/>
              </w:rPr>
              <w:t xml:space="preserve">. UCO Bank </w:t>
            </w:r>
            <w:r>
              <w:rPr>
                <w:rFonts w:ascii="Calibri" w:hAnsi="Calibri" w:cs="Calibri"/>
                <w:color w:val="000000"/>
                <w:sz w:val="22"/>
                <w:szCs w:val="28"/>
              </w:rPr>
              <w:t xml:space="preserve"> 4</w:t>
            </w:r>
            <w:r w:rsidRPr="008A305A">
              <w:rPr>
                <w:rFonts w:ascii="Calibri" w:hAnsi="Calibri" w:cs="Calibri"/>
                <w:color w:val="000000"/>
                <w:sz w:val="22"/>
                <w:szCs w:val="28"/>
              </w:rPr>
              <w:t>.</w:t>
            </w:r>
            <w:r>
              <w:rPr>
                <w:rFonts w:ascii="Calibri" w:hAnsi="Calibri" w:cs="Calibri"/>
                <w:color w:val="000000"/>
                <w:sz w:val="22"/>
                <w:szCs w:val="28"/>
              </w:rPr>
              <w:t xml:space="preserve"> United Bank of India 5. ABN AMRO, 6</w:t>
            </w:r>
            <w:r w:rsidRPr="008A305A">
              <w:rPr>
                <w:rFonts w:ascii="Calibri" w:hAnsi="Calibri" w:cs="Calibri"/>
                <w:color w:val="000000"/>
                <w:sz w:val="22"/>
                <w:szCs w:val="28"/>
              </w:rPr>
              <w:t>.Allahabad bank,</w:t>
            </w:r>
            <w:r>
              <w:rPr>
                <w:rFonts w:ascii="Calibri" w:hAnsi="Calibri" w:cs="Calibri"/>
                <w:color w:val="000000"/>
                <w:sz w:val="22"/>
                <w:szCs w:val="28"/>
              </w:rPr>
              <w:t xml:space="preserve"> 7. Andhra Bank, 8</w:t>
            </w:r>
            <w:r w:rsidRPr="008A305A">
              <w:rPr>
                <w:rFonts w:ascii="Calibri" w:hAnsi="Calibri" w:cs="Calibri"/>
                <w:color w:val="000000"/>
                <w:sz w:val="22"/>
                <w:szCs w:val="28"/>
              </w:rPr>
              <w:t xml:space="preserve">.AXIS Bank, </w:t>
            </w:r>
            <w:r>
              <w:rPr>
                <w:rFonts w:ascii="Calibri" w:hAnsi="Calibri" w:cs="Calibri"/>
                <w:color w:val="000000"/>
                <w:sz w:val="22"/>
                <w:szCs w:val="28"/>
              </w:rPr>
              <w:t>9</w:t>
            </w:r>
            <w:r w:rsidRPr="008A305A">
              <w:rPr>
                <w:rFonts w:ascii="Calibri" w:hAnsi="Calibri" w:cs="Calibri"/>
                <w:color w:val="000000"/>
                <w:sz w:val="22"/>
                <w:szCs w:val="28"/>
              </w:rPr>
              <w:t xml:space="preserve">.Bank of Bahrain &amp; Kuwait, </w:t>
            </w:r>
            <w:r>
              <w:rPr>
                <w:rFonts w:ascii="Calibri" w:hAnsi="Calibri" w:cs="Calibri"/>
                <w:color w:val="000000"/>
                <w:sz w:val="22"/>
                <w:szCs w:val="28"/>
              </w:rPr>
              <w:t>10</w:t>
            </w:r>
            <w:r w:rsidRPr="008A305A">
              <w:rPr>
                <w:rFonts w:ascii="Calibri" w:hAnsi="Calibri" w:cs="Calibri"/>
                <w:color w:val="000000"/>
                <w:sz w:val="22"/>
                <w:szCs w:val="28"/>
              </w:rPr>
              <w:t>.Bank of Baroda ,</w:t>
            </w:r>
            <w:r>
              <w:rPr>
                <w:rFonts w:ascii="Calibri" w:hAnsi="Calibri" w:cs="Calibri"/>
                <w:color w:val="000000"/>
                <w:sz w:val="22"/>
                <w:szCs w:val="28"/>
              </w:rPr>
              <w:t>11</w:t>
            </w:r>
            <w:r w:rsidRPr="008A305A">
              <w:rPr>
                <w:rFonts w:ascii="Calibri" w:hAnsi="Calibri" w:cs="Calibri"/>
                <w:color w:val="000000"/>
                <w:sz w:val="22"/>
                <w:szCs w:val="28"/>
              </w:rPr>
              <w:t xml:space="preserve">. Bank of India, </w:t>
            </w:r>
            <w:r>
              <w:rPr>
                <w:rFonts w:ascii="Calibri" w:hAnsi="Calibri" w:cs="Calibri"/>
                <w:color w:val="000000"/>
                <w:sz w:val="22"/>
                <w:szCs w:val="28"/>
              </w:rPr>
              <w:t>12</w:t>
            </w:r>
            <w:r w:rsidRPr="008A305A">
              <w:rPr>
                <w:rFonts w:ascii="Calibri" w:hAnsi="Calibri" w:cs="Calibri"/>
                <w:color w:val="000000"/>
                <w:sz w:val="22"/>
                <w:szCs w:val="28"/>
              </w:rPr>
              <w:t xml:space="preserve">.Bank Of Maharashtra, </w:t>
            </w:r>
            <w:r>
              <w:rPr>
                <w:rFonts w:ascii="Calibri" w:hAnsi="Calibri" w:cs="Calibri"/>
                <w:color w:val="000000"/>
                <w:sz w:val="22"/>
                <w:szCs w:val="28"/>
              </w:rPr>
              <w:t>13</w:t>
            </w:r>
            <w:r w:rsidRPr="008A305A">
              <w:rPr>
                <w:rFonts w:ascii="Calibri" w:hAnsi="Calibri" w:cs="Calibri"/>
                <w:color w:val="000000"/>
                <w:sz w:val="22"/>
                <w:szCs w:val="28"/>
              </w:rPr>
              <w:t xml:space="preserve">.Bank Of Rajasthan, </w:t>
            </w:r>
            <w:r>
              <w:rPr>
                <w:rFonts w:ascii="Calibri" w:hAnsi="Calibri" w:cs="Calibri"/>
                <w:color w:val="000000"/>
                <w:sz w:val="22"/>
                <w:szCs w:val="28"/>
              </w:rPr>
              <w:t>14</w:t>
            </w:r>
            <w:r w:rsidRPr="008A305A">
              <w:rPr>
                <w:rFonts w:ascii="Calibri" w:hAnsi="Calibri" w:cs="Calibri"/>
                <w:color w:val="000000"/>
                <w:sz w:val="22"/>
                <w:szCs w:val="28"/>
              </w:rPr>
              <w:t>.Central Bank of India,</w:t>
            </w:r>
            <w:r>
              <w:rPr>
                <w:rFonts w:ascii="Calibri" w:hAnsi="Calibri" w:cs="Calibri"/>
                <w:color w:val="000000"/>
                <w:sz w:val="22"/>
                <w:szCs w:val="28"/>
              </w:rPr>
              <w:t xml:space="preserve"> 15</w:t>
            </w:r>
            <w:r w:rsidRPr="008A305A">
              <w:rPr>
                <w:rFonts w:ascii="Calibri" w:hAnsi="Calibri" w:cs="Calibri"/>
                <w:color w:val="000000"/>
                <w:sz w:val="22"/>
                <w:szCs w:val="28"/>
              </w:rPr>
              <w:t>.</w:t>
            </w:r>
            <w:r>
              <w:rPr>
                <w:rFonts w:ascii="Calibri" w:hAnsi="Calibri" w:cs="Calibri"/>
                <w:color w:val="000000"/>
                <w:sz w:val="22"/>
                <w:szCs w:val="28"/>
              </w:rPr>
              <w:t xml:space="preserve"> Indian Overseas Bank, 16. </w:t>
            </w:r>
            <w:r w:rsidRPr="008A305A">
              <w:rPr>
                <w:rFonts w:ascii="Calibri" w:hAnsi="Calibri" w:cs="Calibri"/>
                <w:color w:val="000000"/>
                <w:sz w:val="22"/>
                <w:szCs w:val="28"/>
              </w:rPr>
              <w:t xml:space="preserve"> Canara Bank, 1</w:t>
            </w:r>
            <w:r>
              <w:rPr>
                <w:rFonts w:ascii="Calibri" w:hAnsi="Calibri" w:cs="Calibri"/>
                <w:color w:val="000000"/>
                <w:sz w:val="22"/>
                <w:szCs w:val="28"/>
              </w:rPr>
              <w:t>7</w:t>
            </w:r>
            <w:r w:rsidRPr="008A305A">
              <w:rPr>
                <w:rFonts w:ascii="Calibri" w:hAnsi="Calibri" w:cs="Calibri"/>
                <w:color w:val="000000"/>
                <w:sz w:val="22"/>
                <w:szCs w:val="28"/>
              </w:rPr>
              <w:t>. Citibank. 1</w:t>
            </w:r>
            <w:r>
              <w:rPr>
                <w:rFonts w:ascii="Calibri" w:hAnsi="Calibri" w:cs="Calibri"/>
                <w:color w:val="000000"/>
                <w:sz w:val="22"/>
                <w:szCs w:val="28"/>
              </w:rPr>
              <w:t>8. City Union Bank, 19. Corporation Bank, 20</w:t>
            </w:r>
            <w:r w:rsidRPr="008A305A">
              <w:rPr>
                <w:rFonts w:ascii="Calibri" w:hAnsi="Calibri" w:cs="Calibri"/>
                <w:color w:val="000000"/>
                <w:sz w:val="22"/>
                <w:szCs w:val="28"/>
              </w:rPr>
              <w:t xml:space="preserve">. Deutsche Bank, </w:t>
            </w:r>
            <w:r>
              <w:rPr>
                <w:rFonts w:ascii="Calibri" w:hAnsi="Calibri" w:cs="Calibri"/>
                <w:color w:val="000000"/>
                <w:sz w:val="22"/>
                <w:szCs w:val="28"/>
              </w:rPr>
              <w:t xml:space="preserve"> 21</w:t>
            </w:r>
            <w:r w:rsidRPr="008A305A">
              <w:rPr>
                <w:rFonts w:ascii="Calibri" w:hAnsi="Calibri" w:cs="Calibri"/>
                <w:color w:val="000000"/>
                <w:sz w:val="22"/>
                <w:szCs w:val="28"/>
              </w:rPr>
              <w:t xml:space="preserve">. DCB Bank, </w:t>
            </w:r>
            <w:r>
              <w:rPr>
                <w:rFonts w:ascii="Calibri" w:hAnsi="Calibri" w:cs="Calibri"/>
                <w:color w:val="000000"/>
                <w:sz w:val="22"/>
                <w:szCs w:val="28"/>
              </w:rPr>
              <w:t>22</w:t>
            </w:r>
            <w:r w:rsidRPr="008A305A">
              <w:rPr>
                <w:rFonts w:ascii="Calibri" w:hAnsi="Calibri" w:cs="Calibri"/>
                <w:color w:val="000000"/>
                <w:sz w:val="22"/>
                <w:szCs w:val="28"/>
              </w:rPr>
              <w:t xml:space="preserve">. Dhanlakhsmi Bank, </w:t>
            </w:r>
            <w:r>
              <w:rPr>
                <w:rFonts w:ascii="Calibri" w:hAnsi="Calibri" w:cs="Calibri"/>
                <w:color w:val="000000"/>
                <w:sz w:val="22"/>
                <w:szCs w:val="28"/>
              </w:rPr>
              <w:t>23</w:t>
            </w:r>
            <w:r w:rsidRPr="008A305A">
              <w:rPr>
                <w:rFonts w:ascii="Calibri" w:hAnsi="Calibri" w:cs="Calibri"/>
                <w:color w:val="000000"/>
                <w:sz w:val="22"/>
                <w:szCs w:val="28"/>
              </w:rPr>
              <w:t>. Federal Bank, 2</w:t>
            </w:r>
            <w:r>
              <w:rPr>
                <w:rFonts w:ascii="Calibri" w:hAnsi="Calibri" w:cs="Calibri"/>
                <w:color w:val="000000"/>
                <w:sz w:val="22"/>
                <w:szCs w:val="28"/>
              </w:rPr>
              <w:t>4</w:t>
            </w:r>
            <w:r w:rsidRPr="008A305A">
              <w:rPr>
                <w:rFonts w:ascii="Calibri" w:hAnsi="Calibri" w:cs="Calibri"/>
                <w:color w:val="000000"/>
                <w:sz w:val="22"/>
                <w:szCs w:val="28"/>
              </w:rPr>
              <w:t>. Federal Bank, 2</w:t>
            </w:r>
            <w:r>
              <w:rPr>
                <w:rFonts w:ascii="Calibri" w:hAnsi="Calibri" w:cs="Calibri"/>
                <w:color w:val="000000"/>
                <w:sz w:val="22"/>
                <w:szCs w:val="28"/>
              </w:rPr>
              <w:t>5. HDFC Bank, 26</w:t>
            </w:r>
            <w:r w:rsidRPr="008A305A">
              <w:rPr>
                <w:rFonts w:ascii="Calibri" w:hAnsi="Calibri" w:cs="Calibri"/>
                <w:color w:val="000000"/>
                <w:sz w:val="22"/>
                <w:szCs w:val="28"/>
              </w:rPr>
              <w:t>. IndusInd Bank, 2</w:t>
            </w:r>
            <w:r>
              <w:rPr>
                <w:rFonts w:ascii="Calibri" w:hAnsi="Calibri" w:cs="Calibri"/>
                <w:color w:val="000000"/>
                <w:sz w:val="22"/>
                <w:szCs w:val="28"/>
              </w:rPr>
              <w:t>7</w:t>
            </w:r>
            <w:r w:rsidRPr="008A305A">
              <w:rPr>
                <w:rFonts w:ascii="Calibri" w:hAnsi="Calibri" w:cs="Calibri"/>
                <w:color w:val="000000"/>
                <w:sz w:val="22"/>
                <w:szCs w:val="28"/>
              </w:rPr>
              <w:t>. ICICI Bank,2</w:t>
            </w:r>
            <w:r>
              <w:rPr>
                <w:rFonts w:ascii="Calibri" w:hAnsi="Calibri" w:cs="Calibri"/>
                <w:color w:val="000000"/>
                <w:sz w:val="22"/>
                <w:szCs w:val="28"/>
              </w:rPr>
              <w:t>8</w:t>
            </w:r>
            <w:r w:rsidRPr="008A305A">
              <w:rPr>
                <w:rFonts w:ascii="Calibri" w:hAnsi="Calibri" w:cs="Calibri"/>
                <w:color w:val="000000"/>
                <w:sz w:val="22"/>
                <w:szCs w:val="28"/>
              </w:rPr>
              <w:t>. Indian Bank, 2</w:t>
            </w:r>
            <w:r>
              <w:rPr>
                <w:rFonts w:ascii="Calibri" w:hAnsi="Calibri" w:cs="Calibri"/>
                <w:color w:val="000000"/>
                <w:sz w:val="22"/>
                <w:szCs w:val="28"/>
              </w:rPr>
              <w:t>9</w:t>
            </w:r>
            <w:r w:rsidRPr="008A305A">
              <w:rPr>
                <w:rFonts w:ascii="Calibri" w:hAnsi="Calibri" w:cs="Calibri"/>
                <w:color w:val="000000"/>
                <w:sz w:val="22"/>
                <w:szCs w:val="28"/>
              </w:rPr>
              <w:t xml:space="preserve">. Jammu &amp; Kashmir Bank, </w:t>
            </w:r>
            <w:r>
              <w:rPr>
                <w:rFonts w:ascii="Calibri" w:hAnsi="Calibri" w:cs="Calibri"/>
                <w:color w:val="000000"/>
                <w:sz w:val="22"/>
                <w:szCs w:val="28"/>
              </w:rPr>
              <w:t>30</w:t>
            </w:r>
            <w:r w:rsidRPr="008A305A">
              <w:rPr>
                <w:rFonts w:ascii="Calibri" w:hAnsi="Calibri" w:cs="Calibri"/>
                <w:color w:val="000000"/>
                <w:sz w:val="22"/>
                <w:szCs w:val="28"/>
              </w:rPr>
              <w:t xml:space="preserve">. Karnataka Bank, </w:t>
            </w:r>
            <w:r>
              <w:rPr>
                <w:rFonts w:ascii="Calibri" w:hAnsi="Calibri" w:cs="Calibri"/>
                <w:color w:val="000000"/>
                <w:sz w:val="22"/>
                <w:szCs w:val="28"/>
              </w:rPr>
              <w:t>31</w:t>
            </w:r>
            <w:r w:rsidRPr="008A305A">
              <w:rPr>
                <w:rFonts w:ascii="Calibri" w:hAnsi="Calibri" w:cs="Calibri"/>
                <w:color w:val="000000"/>
                <w:sz w:val="22"/>
                <w:szCs w:val="28"/>
              </w:rPr>
              <w:t xml:space="preserve">. Karur Vyasa Bank, </w:t>
            </w:r>
            <w:r>
              <w:rPr>
                <w:rFonts w:ascii="Calibri" w:hAnsi="Calibri" w:cs="Calibri"/>
                <w:color w:val="000000"/>
                <w:sz w:val="22"/>
                <w:szCs w:val="28"/>
              </w:rPr>
              <w:t>32</w:t>
            </w:r>
            <w:r w:rsidRPr="008A305A">
              <w:rPr>
                <w:rFonts w:ascii="Calibri" w:hAnsi="Calibri" w:cs="Calibri"/>
                <w:color w:val="000000"/>
                <w:sz w:val="22"/>
                <w:szCs w:val="28"/>
              </w:rPr>
              <w:t xml:space="preserve">. Kotak bank, </w:t>
            </w:r>
            <w:r>
              <w:rPr>
                <w:rFonts w:ascii="Calibri" w:hAnsi="Calibri" w:cs="Calibri"/>
                <w:color w:val="000000"/>
                <w:sz w:val="22"/>
                <w:szCs w:val="28"/>
              </w:rPr>
              <w:t>33</w:t>
            </w:r>
            <w:r w:rsidRPr="008A305A">
              <w:rPr>
                <w:rFonts w:ascii="Calibri" w:hAnsi="Calibri" w:cs="Calibri"/>
                <w:color w:val="000000"/>
                <w:sz w:val="22"/>
                <w:szCs w:val="28"/>
              </w:rPr>
              <w:t>. Lakshmi Vilas Bank, 3</w:t>
            </w:r>
            <w:r>
              <w:rPr>
                <w:rFonts w:ascii="Calibri" w:hAnsi="Calibri" w:cs="Calibri"/>
                <w:color w:val="000000"/>
                <w:sz w:val="22"/>
                <w:szCs w:val="28"/>
              </w:rPr>
              <w:t>4. Oriental Bank of Commerce, 35</w:t>
            </w:r>
            <w:r w:rsidRPr="008A305A">
              <w:rPr>
                <w:rFonts w:ascii="Calibri" w:hAnsi="Calibri" w:cs="Calibri"/>
                <w:color w:val="000000"/>
                <w:sz w:val="22"/>
                <w:szCs w:val="28"/>
              </w:rPr>
              <w:t>. Punjab and Sind Bank, 3</w:t>
            </w:r>
            <w:r>
              <w:rPr>
                <w:rFonts w:ascii="Calibri" w:hAnsi="Calibri" w:cs="Calibri"/>
                <w:color w:val="000000"/>
                <w:sz w:val="22"/>
                <w:szCs w:val="28"/>
              </w:rPr>
              <w:t>6</w:t>
            </w:r>
            <w:r w:rsidRPr="008A305A">
              <w:rPr>
                <w:rFonts w:ascii="Calibri" w:hAnsi="Calibri" w:cs="Calibri"/>
                <w:color w:val="000000"/>
                <w:sz w:val="22"/>
                <w:szCs w:val="28"/>
              </w:rPr>
              <w:t>. Punjab Nationa</w:t>
            </w:r>
            <w:r>
              <w:rPr>
                <w:rFonts w:ascii="Calibri" w:hAnsi="Calibri" w:cs="Calibri"/>
                <w:color w:val="000000"/>
                <w:sz w:val="22"/>
                <w:szCs w:val="28"/>
              </w:rPr>
              <w:t>l Bank Corporate Net Banking, 37</w:t>
            </w:r>
            <w:r w:rsidRPr="008A305A">
              <w:rPr>
                <w:rFonts w:ascii="Calibri" w:hAnsi="Calibri" w:cs="Calibri"/>
                <w:color w:val="000000"/>
                <w:sz w:val="22"/>
                <w:szCs w:val="28"/>
              </w:rPr>
              <w:t>. Punjab National Bank Retail Net Banking, 3</w:t>
            </w:r>
            <w:r>
              <w:rPr>
                <w:rFonts w:ascii="Calibri" w:hAnsi="Calibri" w:cs="Calibri"/>
                <w:color w:val="000000"/>
                <w:sz w:val="22"/>
                <w:szCs w:val="28"/>
              </w:rPr>
              <w:t>8</w:t>
            </w:r>
            <w:r w:rsidRPr="008A305A">
              <w:rPr>
                <w:rFonts w:ascii="Calibri" w:hAnsi="Calibri" w:cs="Calibri"/>
                <w:color w:val="000000"/>
                <w:sz w:val="22"/>
                <w:szCs w:val="28"/>
              </w:rPr>
              <w:t>. Shamrao Vitthal Co-operation Bank, 3</w:t>
            </w:r>
            <w:r>
              <w:rPr>
                <w:rFonts w:ascii="Calibri" w:hAnsi="Calibri" w:cs="Calibri"/>
                <w:color w:val="000000"/>
                <w:sz w:val="22"/>
                <w:szCs w:val="28"/>
              </w:rPr>
              <w:t>9</w:t>
            </w:r>
            <w:r w:rsidRPr="008A305A">
              <w:rPr>
                <w:rFonts w:ascii="Calibri" w:hAnsi="Calibri" w:cs="Calibri"/>
                <w:color w:val="000000"/>
                <w:sz w:val="22"/>
                <w:szCs w:val="28"/>
              </w:rPr>
              <w:t xml:space="preserve">. South Indian bank, </w:t>
            </w:r>
            <w:r>
              <w:rPr>
                <w:rFonts w:ascii="Calibri" w:hAnsi="Calibri" w:cs="Calibri"/>
                <w:color w:val="000000"/>
                <w:sz w:val="22"/>
                <w:szCs w:val="28"/>
              </w:rPr>
              <w:t>40</w:t>
            </w:r>
            <w:r w:rsidRPr="008A305A">
              <w:rPr>
                <w:rFonts w:ascii="Calibri" w:hAnsi="Calibri" w:cs="Calibri"/>
                <w:color w:val="000000"/>
                <w:sz w:val="22"/>
                <w:szCs w:val="28"/>
              </w:rPr>
              <w:t xml:space="preserve">. State Bank of Bikaner &amp; jaipur, </w:t>
            </w:r>
            <w:r>
              <w:rPr>
                <w:rFonts w:ascii="Calibri" w:hAnsi="Calibri" w:cs="Calibri"/>
                <w:color w:val="000000"/>
                <w:sz w:val="22"/>
                <w:szCs w:val="28"/>
              </w:rPr>
              <w:t>41</w:t>
            </w:r>
            <w:r w:rsidRPr="008A305A">
              <w:rPr>
                <w:rFonts w:ascii="Calibri" w:hAnsi="Calibri" w:cs="Calibri"/>
                <w:color w:val="000000"/>
                <w:sz w:val="22"/>
                <w:szCs w:val="28"/>
              </w:rPr>
              <w:t xml:space="preserve">. State Bank of Hyderabad, </w:t>
            </w:r>
            <w:r>
              <w:rPr>
                <w:rFonts w:ascii="Calibri" w:hAnsi="Calibri" w:cs="Calibri"/>
                <w:color w:val="000000"/>
                <w:sz w:val="22"/>
                <w:szCs w:val="28"/>
              </w:rPr>
              <w:t>42. State Bank of Indore, 43</w:t>
            </w:r>
            <w:r w:rsidRPr="008A305A">
              <w:rPr>
                <w:rFonts w:ascii="Calibri" w:hAnsi="Calibri" w:cs="Calibri"/>
                <w:color w:val="000000"/>
                <w:sz w:val="22"/>
                <w:szCs w:val="28"/>
              </w:rPr>
              <w:t>. State Bank of Mysore, 4</w:t>
            </w:r>
            <w:r>
              <w:rPr>
                <w:rFonts w:ascii="Calibri" w:hAnsi="Calibri" w:cs="Calibri"/>
                <w:color w:val="000000"/>
                <w:sz w:val="22"/>
                <w:szCs w:val="28"/>
              </w:rPr>
              <w:t>4</w:t>
            </w:r>
            <w:r w:rsidRPr="008A305A">
              <w:rPr>
                <w:rFonts w:ascii="Calibri" w:hAnsi="Calibri" w:cs="Calibri"/>
                <w:color w:val="000000"/>
                <w:sz w:val="22"/>
                <w:szCs w:val="28"/>
              </w:rPr>
              <w:t>. State Bank of Patiala, 4</w:t>
            </w:r>
            <w:r>
              <w:rPr>
                <w:rFonts w:ascii="Calibri" w:hAnsi="Calibri" w:cs="Calibri"/>
                <w:color w:val="000000"/>
                <w:sz w:val="22"/>
                <w:szCs w:val="28"/>
              </w:rPr>
              <w:t>5</w:t>
            </w:r>
            <w:r w:rsidRPr="008A305A">
              <w:rPr>
                <w:rFonts w:ascii="Calibri" w:hAnsi="Calibri" w:cs="Calibri"/>
                <w:color w:val="000000"/>
                <w:sz w:val="22"/>
                <w:szCs w:val="28"/>
              </w:rPr>
              <w:t>. State Bank of Travancore, 4</w:t>
            </w:r>
            <w:r>
              <w:rPr>
                <w:rFonts w:ascii="Calibri" w:hAnsi="Calibri" w:cs="Calibri"/>
                <w:color w:val="000000"/>
                <w:sz w:val="22"/>
                <w:szCs w:val="28"/>
              </w:rPr>
              <w:t>6</w:t>
            </w:r>
            <w:r w:rsidRPr="008A305A">
              <w:rPr>
                <w:rFonts w:ascii="Calibri" w:hAnsi="Calibri" w:cs="Calibri"/>
                <w:color w:val="000000"/>
                <w:sz w:val="22"/>
                <w:szCs w:val="28"/>
              </w:rPr>
              <w:t>. Syndicate Bank, 4</w:t>
            </w:r>
            <w:r>
              <w:rPr>
                <w:rFonts w:ascii="Calibri" w:hAnsi="Calibri" w:cs="Calibri"/>
                <w:color w:val="000000"/>
                <w:sz w:val="22"/>
                <w:szCs w:val="28"/>
              </w:rPr>
              <w:t>7</w:t>
            </w:r>
            <w:r w:rsidRPr="008A305A">
              <w:rPr>
                <w:rFonts w:ascii="Calibri" w:hAnsi="Calibri" w:cs="Calibri"/>
                <w:color w:val="000000"/>
                <w:sz w:val="22"/>
                <w:szCs w:val="28"/>
              </w:rPr>
              <w:t>. Tamilnad Mercantile Bank, 4</w:t>
            </w:r>
            <w:r>
              <w:rPr>
                <w:rFonts w:ascii="Calibri" w:hAnsi="Calibri" w:cs="Calibri"/>
                <w:color w:val="000000"/>
                <w:sz w:val="22"/>
                <w:szCs w:val="28"/>
              </w:rPr>
              <w:t>8</w:t>
            </w:r>
            <w:r w:rsidRPr="008A305A">
              <w:rPr>
                <w:rFonts w:ascii="Calibri" w:hAnsi="Calibri" w:cs="Calibri"/>
                <w:color w:val="000000"/>
                <w:sz w:val="22"/>
                <w:szCs w:val="28"/>
              </w:rPr>
              <w:t>. Union Bank of India,  4</w:t>
            </w:r>
            <w:r>
              <w:rPr>
                <w:rFonts w:ascii="Calibri" w:hAnsi="Calibri" w:cs="Calibri"/>
                <w:color w:val="000000"/>
                <w:sz w:val="22"/>
                <w:szCs w:val="28"/>
              </w:rPr>
              <w:t>9</w:t>
            </w:r>
            <w:r w:rsidRPr="008A305A">
              <w:rPr>
                <w:rFonts w:ascii="Calibri" w:hAnsi="Calibri" w:cs="Calibri"/>
                <w:color w:val="000000"/>
                <w:sz w:val="22"/>
                <w:szCs w:val="28"/>
              </w:rPr>
              <w:t xml:space="preserve">. Vijaya Bank, </w:t>
            </w:r>
            <w:r>
              <w:rPr>
                <w:rFonts w:ascii="Calibri" w:hAnsi="Calibri" w:cs="Calibri"/>
                <w:color w:val="000000"/>
                <w:sz w:val="22"/>
                <w:szCs w:val="28"/>
              </w:rPr>
              <w:t>50</w:t>
            </w:r>
            <w:r w:rsidRPr="008A305A">
              <w:rPr>
                <w:rFonts w:ascii="Calibri" w:hAnsi="Calibri" w:cs="Calibri"/>
                <w:color w:val="000000"/>
                <w:sz w:val="22"/>
                <w:szCs w:val="28"/>
              </w:rPr>
              <w:t>. YES Bank</w:t>
            </w:r>
          </w:p>
        </w:tc>
      </w:tr>
      <w:tr w:rsidR="00F80724" w:rsidRPr="002C3CA2" w:rsidTr="00E52EAD">
        <w:trPr>
          <w:trHeight w:val="2670"/>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F80724" w:rsidRPr="008A305A" w:rsidRDefault="00F80724" w:rsidP="00E52EAD">
            <w:pPr>
              <w:jc w:val="center"/>
              <w:rPr>
                <w:rFonts w:ascii="Calibri" w:hAnsi="Calibri" w:cs="Calibri"/>
                <w:color w:val="000000"/>
                <w:szCs w:val="28"/>
              </w:rPr>
            </w:pPr>
            <w:r w:rsidRPr="008A305A">
              <w:rPr>
                <w:rFonts w:ascii="Calibri" w:hAnsi="Calibri" w:cs="Calibri"/>
                <w:color w:val="000000"/>
                <w:sz w:val="22"/>
                <w:szCs w:val="28"/>
              </w:rPr>
              <w:lastRenderedPageBreak/>
              <w:t>4</w:t>
            </w:r>
          </w:p>
        </w:tc>
        <w:tc>
          <w:tcPr>
            <w:tcW w:w="1368"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rPr>
                <w:rFonts w:ascii="Calibri" w:hAnsi="Calibri" w:cs="Calibri"/>
                <w:b/>
                <w:bCs/>
                <w:color w:val="000000"/>
                <w:szCs w:val="28"/>
              </w:rPr>
            </w:pPr>
            <w:r w:rsidRPr="008A305A">
              <w:rPr>
                <w:rFonts w:ascii="Calibri" w:hAnsi="Calibri" w:cs="Calibri"/>
                <w:b/>
                <w:bCs/>
                <w:color w:val="000000"/>
                <w:sz w:val="22"/>
                <w:szCs w:val="28"/>
              </w:rPr>
              <w:t xml:space="preserve">Atom Technology  </w:t>
            </w:r>
          </w:p>
        </w:tc>
        <w:tc>
          <w:tcPr>
            <w:tcW w:w="3060"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rPr>
                <w:rFonts w:ascii="Calibri" w:hAnsi="Calibri" w:cs="Calibri"/>
                <w:color w:val="000000"/>
                <w:szCs w:val="28"/>
              </w:rPr>
            </w:pPr>
            <w:r w:rsidRPr="008A305A">
              <w:rPr>
                <w:rFonts w:ascii="Calibri" w:hAnsi="Calibri" w:cs="Calibri"/>
                <w:color w:val="000000"/>
                <w:sz w:val="22"/>
                <w:szCs w:val="28"/>
              </w:rPr>
              <w:t xml:space="preserve">Through Debit / Credit Card and Net Banking services of 28 Banks </w:t>
            </w:r>
            <w:r>
              <w:rPr>
                <w:rFonts w:ascii="Calibri" w:hAnsi="Calibri" w:cs="Calibri"/>
                <w:color w:val="000000"/>
                <w:sz w:val="22"/>
                <w:szCs w:val="28"/>
              </w:rPr>
              <w:t>listed below.</w:t>
            </w:r>
          </w:p>
        </w:tc>
        <w:tc>
          <w:tcPr>
            <w:tcW w:w="1758"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jc w:val="center"/>
              <w:rPr>
                <w:rFonts w:ascii="Calibri" w:hAnsi="Calibri" w:cs="Calibri"/>
                <w:color w:val="000000"/>
                <w:szCs w:val="28"/>
              </w:rPr>
            </w:pPr>
            <w:r w:rsidRPr="008A305A">
              <w:rPr>
                <w:rFonts w:ascii="Calibri" w:hAnsi="Calibri" w:cs="Calibri"/>
                <w:color w:val="000000"/>
                <w:sz w:val="22"/>
                <w:szCs w:val="28"/>
              </w:rPr>
              <w:t xml:space="preserve">WESCO 04.01 2012, SOUTHCO &amp; NESCOJune’13.  </w:t>
            </w:r>
          </w:p>
        </w:tc>
        <w:tc>
          <w:tcPr>
            <w:tcW w:w="3372"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rPr>
                <w:rFonts w:ascii="Calibri" w:hAnsi="Calibri" w:cs="Calibri"/>
                <w:color w:val="000000"/>
                <w:szCs w:val="28"/>
              </w:rPr>
            </w:pPr>
            <w:r w:rsidRPr="008A305A">
              <w:rPr>
                <w:rFonts w:ascii="Calibri" w:hAnsi="Calibri" w:cs="Calibri"/>
                <w:b/>
                <w:bCs/>
                <w:color w:val="000000"/>
                <w:sz w:val="22"/>
                <w:szCs w:val="28"/>
              </w:rPr>
              <w:t xml:space="preserve">Debit/Credit /Pre-Paid </w:t>
            </w:r>
            <w:r w:rsidRPr="008A305A">
              <w:rPr>
                <w:rFonts w:ascii="Calibri" w:hAnsi="Calibri" w:cs="Calibri"/>
                <w:color w:val="000000"/>
                <w:sz w:val="22"/>
                <w:szCs w:val="28"/>
              </w:rPr>
              <w:t>= 1.1% of Customer Payment Amount</w:t>
            </w:r>
            <w:r>
              <w:rPr>
                <w:rFonts w:ascii="Calibri" w:hAnsi="Calibri" w:cs="Calibri"/>
                <w:color w:val="000000"/>
                <w:sz w:val="22"/>
                <w:szCs w:val="28"/>
              </w:rPr>
              <w:t xml:space="preserve"> towards VISA / MASTER . MESTRO charges s</w:t>
            </w:r>
            <w:r w:rsidRPr="008A305A">
              <w:rPr>
                <w:rFonts w:ascii="Calibri" w:hAnsi="Calibri" w:cs="Calibri"/>
                <w:color w:val="000000"/>
                <w:sz w:val="22"/>
                <w:szCs w:val="28"/>
              </w:rPr>
              <w:t>ubjected to minimum Rs.5/- per trans</w:t>
            </w:r>
            <w:r>
              <w:rPr>
                <w:rFonts w:ascii="Calibri" w:hAnsi="Calibri" w:cs="Calibri"/>
                <w:color w:val="000000"/>
                <w:sz w:val="22"/>
                <w:szCs w:val="28"/>
              </w:rPr>
              <w:t>action p</w:t>
            </w:r>
            <w:r w:rsidRPr="008A305A">
              <w:rPr>
                <w:rFonts w:ascii="Calibri" w:hAnsi="Calibri" w:cs="Calibri"/>
                <w:color w:val="000000"/>
                <w:sz w:val="22"/>
                <w:szCs w:val="28"/>
              </w:rPr>
              <w:t>aid by customer.</w:t>
            </w:r>
            <w:r w:rsidRPr="008A305A">
              <w:rPr>
                <w:rFonts w:ascii="Calibri" w:hAnsi="Calibri" w:cs="Calibri"/>
                <w:b/>
                <w:bCs/>
                <w:color w:val="000000"/>
                <w:sz w:val="22"/>
                <w:szCs w:val="28"/>
              </w:rPr>
              <w:t>Net Banking</w:t>
            </w:r>
            <w:r w:rsidRPr="008A305A">
              <w:rPr>
                <w:rFonts w:ascii="Calibri" w:hAnsi="Calibri" w:cs="Calibri"/>
                <w:color w:val="000000"/>
                <w:sz w:val="22"/>
                <w:szCs w:val="28"/>
              </w:rPr>
              <w:t xml:space="preserve"> = Rs.4/Per Transaction  paid by consumers.</w:t>
            </w:r>
          </w:p>
        </w:tc>
      </w:tr>
      <w:tr w:rsidR="00F80724" w:rsidRPr="002C3CA2" w:rsidTr="00E52EAD">
        <w:trPr>
          <w:trHeight w:val="2010"/>
        </w:trPr>
        <w:tc>
          <w:tcPr>
            <w:tcW w:w="10548"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F80724" w:rsidRPr="008A305A" w:rsidRDefault="00F80724" w:rsidP="00E52EAD">
            <w:pPr>
              <w:rPr>
                <w:rFonts w:ascii="Calibri" w:hAnsi="Calibri" w:cs="Calibri"/>
                <w:color w:val="000000"/>
                <w:szCs w:val="28"/>
              </w:rPr>
            </w:pPr>
            <w:r w:rsidRPr="008A305A">
              <w:rPr>
                <w:rFonts w:ascii="Calibri" w:hAnsi="Calibri" w:cs="Calibri"/>
                <w:b/>
                <w:bCs/>
                <w:color w:val="000000"/>
                <w:sz w:val="22"/>
                <w:szCs w:val="28"/>
              </w:rPr>
              <w:t>List of Banks for net banking:</w:t>
            </w:r>
            <w:r w:rsidRPr="008A305A">
              <w:rPr>
                <w:rFonts w:ascii="Calibri" w:hAnsi="Calibri" w:cs="Calibri"/>
                <w:color w:val="000000"/>
                <w:sz w:val="22"/>
                <w:szCs w:val="28"/>
              </w:rPr>
              <w:t xml:space="preserve"> (1) ICICI Bank, (2) HDFC Bank, (3) Axis Bank, (4) Citi Bank, (5) State Bank of India (6) State Bank of Hyderabad, (7) State Bank of Bikaner and Jaipur, (8) State Bank of Mysore (9) State Bank of  Travancore (10) IDBI Bank (11) Lakshmi Vilas Bank (12) Bank of India (13) Kotak Mahindra Bank (14) IndusInd Bank (15) Karur Vysya Bank (16) Federal Bank (17) YES Bank (18) South Indian Bank (19) Deutsche Bank (20) City Union Bank (21) Indian Bank (22) DCB Bank (23) Central Bank (24) Indian Overseas Bank (25) Corporation Bank (26)Karnatak Bank  (27) Union Bank of India (28) J&amp;K Bank </w:t>
            </w:r>
          </w:p>
        </w:tc>
      </w:tr>
      <w:tr w:rsidR="00F80724" w:rsidRPr="002C3CA2" w:rsidTr="00E52EAD">
        <w:trPr>
          <w:trHeight w:val="1515"/>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F80724" w:rsidRPr="008A305A" w:rsidRDefault="00F80724" w:rsidP="00E52EAD">
            <w:pPr>
              <w:jc w:val="center"/>
              <w:rPr>
                <w:rFonts w:ascii="Calibri" w:hAnsi="Calibri" w:cs="Calibri"/>
                <w:color w:val="000000"/>
                <w:szCs w:val="28"/>
              </w:rPr>
            </w:pPr>
            <w:r w:rsidRPr="008A305A">
              <w:rPr>
                <w:rFonts w:ascii="Calibri" w:hAnsi="Calibri" w:cs="Calibri"/>
                <w:color w:val="000000"/>
                <w:sz w:val="22"/>
                <w:szCs w:val="28"/>
              </w:rPr>
              <w:t>5</w:t>
            </w:r>
          </w:p>
        </w:tc>
        <w:tc>
          <w:tcPr>
            <w:tcW w:w="1368"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rPr>
                <w:rFonts w:ascii="Calibri" w:hAnsi="Calibri" w:cs="Calibri"/>
                <w:b/>
                <w:bCs/>
                <w:color w:val="000000"/>
                <w:szCs w:val="28"/>
              </w:rPr>
            </w:pPr>
            <w:r w:rsidRPr="008A305A">
              <w:rPr>
                <w:rFonts w:ascii="Calibri" w:hAnsi="Calibri" w:cs="Calibri"/>
                <w:b/>
                <w:bCs/>
                <w:color w:val="000000"/>
                <w:sz w:val="22"/>
                <w:szCs w:val="28"/>
              </w:rPr>
              <w:t xml:space="preserve">ICICI Bank    </w:t>
            </w:r>
          </w:p>
        </w:tc>
        <w:tc>
          <w:tcPr>
            <w:tcW w:w="3060"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rPr>
                <w:rFonts w:ascii="Calibri" w:hAnsi="Calibri" w:cs="Calibri"/>
                <w:color w:val="000000"/>
                <w:szCs w:val="28"/>
              </w:rPr>
            </w:pPr>
            <w:r w:rsidRPr="008A305A">
              <w:rPr>
                <w:rFonts w:ascii="Calibri" w:hAnsi="Calibri" w:cs="Calibri"/>
                <w:color w:val="000000"/>
                <w:sz w:val="22"/>
                <w:szCs w:val="28"/>
              </w:rPr>
              <w:t xml:space="preserve">Through Credit / Debit Card and ICICI Net Banking services </w:t>
            </w:r>
          </w:p>
        </w:tc>
        <w:tc>
          <w:tcPr>
            <w:tcW w:w="1758"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jc w:val="center"/>
              <w:rPr>
                <w:rFonts w:ascii="Calibri" w:hAnsi="Calibri" w:cs="Calibri"/>
                <w:color w:val="000000"/>
                <w:szCs w:val="28"/>
              </w:rPr>
            </w:pPr>
            <w:r w:rsidRPr="008A305A">
              <w:rPr>
                <w:rFonts w:ascii="Calibri" w:hAnsi="Calibri" w:cs="Calibri"/>
                <w:color w:val="000000"/>
                <w:sz w:val="22"/>
                <w:szCs w:val="28"/>
              </w:rPr>
              <w:t xml:space="preserve">04.10.2012  </w:t>
            </w:r>
          </w:p>
        </w:tc>
        <w:tc>
          <w:tcPr>
            <w:tcW w:w="3372"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rPr>
                <w:rFonts w:ascii="Calibri" w:hAnsi="Calibri" w:cs="Calibri"/>
                <w:color w:val="000000"/>
                <w:szCs w:val="28"/>
              </w:rPr>
            </w:pPr>
            <w:r w:rsidRPr="008A305A">
              <w:rPr>
                <w:rFonts w:ascii="Calibri" w:hAnsi="Calibri" w:cs="Calibri"/>
                <w:b/>
                <w:bCs/>
                <w:color w:val="000000"/>
                <w:sz w:val="22"/>
                <w:szCs w:val="28"/>
              </w:rPr>
              <w:t xml:space="preserve">Credit / Debit Card </w:t>
            </w:r>
            <w:r w:rsidRPr="008A305A">
              <w:rPr>
                <w:rFonts w:ascii="Calibri" w:hAnsi="Calibri" w:cs="Calibri"/>
                <w:color w:val="000000"/>
                <w:sz w:val="22"/>
                <w:szCs w:val="28"/>
              </w:rPr>
              <w:t>@ 1.35% on the Bill  amount payable by the Customers</w:t>
            </w:r>
            <w:r>
              <w:rPr>
                <w:rFonts w:ascii="Calibri" w:hAnsi="Calibri" w:cs="Calibri"/>
                <w:color w:val="000000"/>
                <w:sz w:val="22"/>
                <w:szCs w:val="28"/>
              </w:rPr>
              <w:t xml:space="preserve"> towards VISA / MASTER / MESTRO charges</w:t>
            </w:r>
            <w:r w:rsidRPr="008A305A">
              <w:rPr>
                <w:rFonts w:ascii="Calibri" w:hAnsi="Calibri" w:cs="Calibri"/>
                <w:color w:val="000000"/>
                <w:sz w:val="22"/>
                <w:szCs w:val="28"/>
              </w:rPr>
              <w:t xml:space="preserve"> along with applicable taxes and </w:t>
            </w:r>
            <w:r w:rsidRPr="008A305A">
              <w:rPr>
                <w:rFonts w:ascii="Calibri" w:hAnsi="Calibri" w:cs="Calibri"/>
                <w:b/>
                <w:bCs/>
                <w:color w:val="000000"/>
                <w:sz w:val="22"/>
                <w:szCs w:val="28"/>
              </w:rPr>
              <w:t>Nil charges</w:t>
            </w:r>
            <w:r w:rsidRPr="008A305A">
              <w:rPr>
                <w:rFonts w:ascii="Calibri" w:hAnsi="Calibri" w:cs="Calibri"/>
                <w:color w:val="000000"/>
                <w:sz w:val="22"/>
                <w:szCs w:val="28"/>
              </w:rPr>
              <w:t xml:space="preserve"> for net banking of  ICICI Bank Only</w:t>
            </w:r>
          </w:p>
        </w:tc>
      </w:tr>
      <w:tr w:rsidR="00F80724" w:rsidRPr="002C3CA2" w:rsidTr="00E52EAD">
        <w:trPr>
          <w:trHeight w:val="1335"/>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F80724" w:rsidRPr="008A305A" w:rsidRDefault="00F80724" w:rsidP="00E52EAD">
            <w:pPr>
              <w:jc w:val="center"/>
              <w:rPr>
                <w:rFonts w:ascii="Calibri" w:hAnsi="Calibri" w:cs="Calibri"/>
                <w:color w:val="000000"/>
                <w:szCs w:val="28"/>
              </w:rPr>
            </w:pPr>
            <w:r w:rsidRPr="008A305A">
              <w:rPr>
                <w:rFonts w:ascii="Calibri" w:hAnsi="Calibri" w:cs="Calibri"/>
                <w:color w:val="000000"/>
                <w:sz w:val="22"/>
                <w:szCs w:val="28"/>
              </w:rPr>
              <w:t>6</w:t>
            </w:r>
          </w:p>
        </w:tc>
        <w:tc>
          <w:tcPr>
            <w:tcW w:w="1368"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rPr>
                <w:rFonts w:ascii="Calibri" w:hAnsi="Calibri" w:cs="Calibri"/>
                <w:b/>
                <w:bCs/>
                <w:color w:val="000000"/>
                <w:szCs w:val="28"/>
              </w:rPr>
            </w:pPr>
            <w:r w:rsidRPr="008A305A">
              <w:rPr>
                <w:rFonts w:ascii="Calibri" w:hAnsi="Calibri" w:cs="Calibri"/>
                <w:b/>
                <w:bCs/>
                <w:color w:val="000000"/>
                <w:sz w:val="22"/>
                <w:szCs w:val="28"/>
              </w:rPr>
              <w:t xml:space="preserve">ITZ Cash Card  </w:t>
            </w:r>
          </w:p>
        </w:tc>
        <w:tc>
          <w:tcPr>
            <w:tcW w:w="3060"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rPr>
                <w:rFonts w:ascii="Calibri" w:hAnsi="Calibri" w:cs="Calibri"/>
                <w:color w:val="000000"/>
                <w:szCs w:val="28"/>
              </w:rPr>
            </w:pPr>
            <w:r w:rsidRPr="008A305A">
              <w:rPr>
                <w:rFonts w:ascii="Calibri" w:hAnsi="Calibri" w:cs="Calibri"/>
                <w:color w:val="000000"/>
                <w:sz w:val="22"/>
                <w:szCs w:val="28"/>
              </w:rPr>
              <w:t>Through  prepaid cash card  issued by ITZ Cash Card  and through their various outlets.  (602 outlets in 3 Discom Areas)</w:t>
            </w:r>
          </w:p>
        </w:tc>
        <w:tc>
          <w:tcPr>
            <w:tcW w:w="1758"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jc w:val="center"/>
              <w:rPr>
                <w:rFonts w:ascii="Calibri" w:hAnsi="Calibri" w:cs="Calibri"/>
                <w:color w:val="000000"/>
                <w:szCs w:val="28"/>
              </w:rPr>
            </w:pPr>
            <w:r w:rsidRPr="008A305A">
              <w:rPr>
                <w:rFonts w:ascii="Calibri" w:hAnsi="Calibri" w:cs="Calibri"/>
                <w:color w:val="000000"/>
                <w:sz w:val="22"/>
                <w:szCs w:val="28"/>
              </w:rPr>
              <w:t xml:space="preserve">14.03.2011  </w:t>
            </w:r>
          </w:p>
        </w:tc>
        <w:tc>
          <w:tcPr>
            <w:tcW w:w="3372"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rPr>
                <w:rFonts w:ascii="Calibri" w:hAnsi="Calibri" w:cs="Calibri"/>
                <w:color w:val="000000"/>
                <w:szCs w:val="28"/>
              </w:rPr>
            </w:pPr>
            <w:r w:rsidRPr="008A305A">
              <w:rPr>
                <w:rFonts w:ascii="Calibri" w:hAnsi="Calibri" w:cs="Calibri"/>
                <w:b/>
                <w:bCs/>
                <w:color w:val="000000"/>
                <w:sz w:val="22"/>
                <w:szCs w:val="28"/>
              </w:rPr>
              <w:t>Rs.5/- per transaction</w:t>
            </w:r>
            <w:r w:rsidRPr="008A305A">
              <w:rPr>
                <w:rFonts w:ascii="Calibri" w:hAnsi="Calibri" w:cs="Calibri"/>
                <w:color w:val="000000"/>
                <w:sz w:val="22"/>
                <w:szCs w:val="28"/>
              </w:rPr>
              <w:t xml:space="preserve"> plus service tax charges. Paid by  Discoms . No cost to consumers.</w:t>
            </w:r>
          </w:p>
        </w:tc>
      </w:tr>
      <w:tr w:rsidR="00F80724" w:rsidRPr="002C3CA2" w:rsidTr="00E52EAD">
        <w:trPr>
          <w:trHeight w:val="2160"/>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F80724" w:rsidRPr="008A305A" w:rsidRDefault="00F80724" w:rsidP="00E52EAD">
            <w:pPr>
              <w:jc w:val="center"/>
              <w:rPr>
                <w:rFonts w:ascii="Calibri" w:hAnsi="Calibri" w:cs="Calibri"/>
                <w:color w:val="000000"/>
                <w:szCs w:val="28"/>
              </w:rPr>
            </w:pPr>
            <w:r w:rsidRPr="008A305A">
              <w:rPr>
                <w:rFonts w:ascii="Calibri" w:hAnsi="Calibri" w:cs="Calibri"/>
                <w:color w:val="000000"/>
                <w:sz w:val="22"/>
                <w:szCs w:val="28"/>
              </w:rPr>
              <w:t>7</w:t>
            </w:r>
          </w:p>
        </w:tc>
        <w:tc>
          <w:tcPr>
            <w:tcW w:w="1368"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rPr>
                <w:rFonts w:ascii="Calibri" w:hAnsi="Calibri" w:cs="Calibri"/>
                <w:b/>
                <w:bCs/>
                <w:color w:val="000000"/>
                <w:szCs w:val="28"/>
              </w:rPr>
            </w:pPr>
            <w:r w:rsidRPr="008A305A">
              <w:rPr>
                <w:rFonts w:ascii="Calibri" w:hAnsi="Calibri" w:cs="Calibri"/>
                <w:b/>
                <w:bCs/>
                <w:color w:val="000000"/>
                <w:sz w:val="22"/>
                <w:szCs w:val="28"/>
              </w:rPr>
              <w:t xml:space="preserve">Suvidha Outlets  </w:t>
            </w:r>
          </w:p>
        </w:tc>
        <w:tc>
          <w:tcPr>
            <w:tcW w:w="3060"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rPr>
                <w:rFonts w:ascii="Calibri" w:hAnsi="Calibri" w:cs="Calibri"/>
                <w:color w:val="000000"/>
                <w:szCs w:val="28"/>
              </w:rPr>
            </w:pPr>
            <w:r w:rsidRPr="008A305A">
              <w:rPr>
                <w:rFonts w:ascii="Calibri" w:hAnsi="Calibri" w:cs="Calibri"/>
                <w:color w:val="000000"/>
                <w:sz w:val="22"/>
                <w:szCs w:val="28"/>
              </w:rPr>
              <w:t xml:space="preserve">In various Suvidha outlets in the Jurisdiction of Discoms Areas. Consumers can produce the electricity bills and Operator of the respective Centre shall receive the payment amount indicated in the bill in cash . </w:t>
            </w:r>
          </w:p>
        </w:tc>
        <w:tc>
          <w:tcPr>
            <w:tcW w:w="1758"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jc w:val="center"/>
              <w:rPr>
                <w:rFonts w:ascii="Calibri" w:hAnsi="Calibri" w:cs="Calibri"/>
                <w:color w:val="000000"/>
                <w:szCs w:val="28"/>
              </w:rPr>
            </w:pPr>
            <w:r w:rsidRPr="008A305A">
              <w:rPr>
                <w:rFonts w:ascii="Calibri" w:hAnsi="Calibri" w:cs="Calibri"/>
                <w:color w:val="000000"/>
                <w:sz w:val="22"/>
                <w:szCs w:val="28"/>
              </w:rPr>
              <w:t xml:space="preserve">30.07.2012  </w:t>
            </w:r>
          </w:p>
        </w:tc>
        <w:tc>
          <w:tcPr>
            <w:tcW w:w="3372"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rPr>
                <w:rFonts w:ascii="Calibri" w:hAnsi="Calibri" w:cs="Calibri"/>
                <w:color w:val="000000"/>
                <w:szCs w:val="28"/>
              </w:rPr>
            </w:pPr>
            <w:r w:rsidRPr="008A305A">
              <w:rPr>
                <w:rFonts w:ascii="Calibri" w:hAnsi="Calibri" w:cs="Calibri"/>
                <w:b/>
                <w:bCs/>
                <w:color w:val="000000"/>
                <w:sz w:val="22"/>
                <w:szCs w:val="28"/>
              </w:rPr>
              <w:t>Rs.5/- per transaction</w:t>
            </w:r>
            <w:r>
              <w:rPr>
                <w:rFonts w:ascii="Calibri" w:hAnsi="Calibri" w:cs="Calibri"/>
                <w:color w:val="000000"/>
                <w:sz w:val="22"/>
                <w:szCs w:val="28"/>
              </w:rPr>
              <w:t xml:space="preserve"> plus service tax charges </w:t>
            </w:r>
            <w:r w:rsidRPr="008A305A">
              <w:rPr>
                <w:rFonts w:ascii="Calibri" w:hAnsi="Calibri" w:cs="Calibri"/>
                <w:color w:val="000000"/>
                <w:sz w:val="22"/>
                <w:szCs w:val="28"/>
              </w:rPr>
              <w:t>Paid by  Discoms . No cost to consumers.</w:t>
            </w:r>
          </w:p>
        </w:tc>
      </w:tr>
      <w:tr w:rsidR="00F80724" w:rsidRPr="002C3CA2" w:rsidTr="00E52EAD">
        <w:trPr>
          <w:trHeight w:val="1770"/>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F80724" w:rsidRPr="008A305A" w:rsidRDefault="00F80724" w:rsidP="00E52EAD">
            <w:pPr>
              <w:jc w:val="center"/>
              <w:rPr>
                <w:rFonts w:ascii="Calibri" w:hAnsi="Calibri" w:cs="Calibri"/>
                <w:color w:val="000000"/>
                <w:szCs w:val="28"/>
              </w:rPr>
            </w:pPr>
            <w:r w:rsidRPr="008A305A">
              <w:rPr>
                <w:rFonts w:ascii="Calibri" w:hAnsi="Calibri" w:cs="Calibri"/>
                <w:color w:val="000000"/>
                <w:sz w:val="22"/>
                <w:szCs w:val="28"/>
              </w:rPr>
              <w:t>8</w:t>
            </w:r>
          </w:p>
        </w:tc>
        <w:tc>
          <w:tcPr>
            <w:tcW w:w="1368"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rPr>
                <w:rFonts w:ascii="Calibri" w:hAnsi="Calibri" w:cs="Calibri"/>
                <w:b/>
                <w:bCs/>
                <w:color w:val="000000"/>
                <w:szCs w:val="28"/>
              </w:rPr>
            </w:pPr>
            <w:r w:rsidRPr="008A305A">
              <w:rPr>
                <w:rFonts w:ascii="Calibri" w:hAnsi="Calibri" w:cs="Calibri"/>
                <w:b/>
                <w:bCs/>
                <w:color w:val="000000"/>
                <w:sz w:val="22"/>
                <w:szCs w:val="28"/>
              </w:rPr>
              <w:t>M/s. Oxigen Ltd</w:t>
            </w:r>
          </w:p>
        </w:tc>
        <w:tc>
          <w:tcPr>
            <w:tcW w:w="3060"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rPr>
                <w:rFonts w:ascii="Calibri" w:hAnsi="Calibri" w:cs="Calibri"/>
                <w:color w:val="000000"/>
                <w:szCs w:val="28"/>
              </w:rPr>
            </w:pPr>
            <w:r w:rsidRPr="008A305A">
              <w:rPr>
                <w:rFonts w:ascii="Calibri" w:hAnsi="Calibri" w:cs="Calibri"/>
                <w:color w:val="000000"/>
                <w:sz w:val="22"/>
                <w:szCs w:val="28"/>
              </w:rPr>
              <w:t xml:space="preserve">Oxygen Representative  to collect the Bill from the consumers, visiting their premises, using POS Machines / any other reliable machine. </w:t>
            </w:r>
          </w:p>
        </w:tc>
        <w:tc>
          <w:tcPr>
            <w:tcW w:w="1758"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jc w:val="center"/>
              <w:rPr>
                <w:rFonts w:ascii="Calibri" w:hAnsi="Calibri" w:cs="Calibri"/>
                <w:color w:val="000000"/>
                <w:szCs w:val="28"/>
              </w:rPr>
            </w:pPr>
            <w:r w:rsidRPr="008A305A">
              <w:rPr>
                <w:rFonts w:ascii="Calibri" w:hAnsi="Calibri" w:cs="Calibri"/>
                <w:color w:val="000000"/>
                <w:sz w:val="22"/>
                <w:szCs w:val="28"/>
              </w:rPr>
              <w:t>29.07.2013</w:t>
            </w:r>
          </w:p>
        </w:tc>
        <w:tc>
          <w:tcPr>
            <w:tcW w:w="3372"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rPr>
                <w:rFonts w:ascii="Calibri" w:hAnsi="Calibri" w:cs="Calibri"/>
                <w:color w:val="000000"/>
                <w:szCs w:val="28"/>
              </w:rPr>
            </w:pPr>
            <w:r w:rsidRPr="008A305A">
              <w:rPr>
                <w:rFonts w:ascii="Calibri" w:hAnsi="Calibri" w:cs="Calibri"/>
                <w:b/>
                <w:bCs/>
                <w:color w:val="000000"/>
                <w:sz w:val="22"/>
                <w:szCs w:val="28"/>
              </w:rPr>
              <w:t>Rs.5/- per transaction</w:t>
            </w:r>
            <w:r w:rsidRPr="008A305A">
              <w:rPr>
                <w:rFonts w:ascii="Calibri" w:hAnsi="Calibri" w:cs="Calibri"/>
                <w:color w:val="000000"/>
                <w:sz w:val="22"/>
                <w:szCs w:val="28"/>
              </w:rPr>
              <w:t xml:space="preserve"> plus service Tax. Paid by  Discoms . No cost to consumers.</w:t>
            </w:r>
          </w:p>
        </w:tc>
      </w:tr>
      <w:tr w:rsidR="00F80724" w:rsidRPr="002C3CA2" w:rsidTr="00E52EAD">
        <w:trPr>
          <w:trHeight w:val="2250"/>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F80724" w:rsidRPr="008A305A" w:rsidRDefault="00F80724" w:rsidP="00E52EAD">
            <w:pPr>
              <w:jc w:val="center"/>
              <w:rPr>
                <w:rFonts w:ascii="Calibri" w:hAnsi="Calibri" w:cs="Calibri"/>
                <w:color w:val="000000"/>
                <w:szCs w:val="28"/>
              </w:rPr>
            </w:pPr>
            <w:r w:rsidRPr="008A305A">
              <w:rPr>
                <w:rFonts w:ascii="Calibri" w:hAnsi="Calibri" w:cs="Calibri"/>
                <w:color w:val="000000"/>
                <w:sz w:val="22"/>
                <w:szCs w:val="28"/>
              </w:rPr>
              <w:t>9</w:t>
            </w:r>
          </w:p>
        </w:tc>
        <w:tc>
          <w:tcPr>
            <w:tcW w:w="1368"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rPr>
                <w:rFonts w:ascii="Calibri" w:hAnsi="Calibri" w:cs="Calibri"/>
                <w:b/>
                <w:bCs/>
                <w:color w:val="000000"/>
                <w:szCs w:val="28"/>
              </w:rPr>
            </w:pPr>
            <w:r w:rsidRPr="008A305A">
              <w:rPr>
                <w:rFonts w:ascii="Calibri" w:hAnsi="Calibri" w:cs="Calibri"/>
                <w:b/>
                <w:bCs/>
                <w:color w:val="000000"/>
                <w:sz w:val="22"/>
                <w:szCs w:val="28"/>
              </w:rPr>
              <w:t>Easy Bill</w:t>
            </w:r>
          </w:p>
        </w:tc>
        <w:tc>
          <w:tcPr>
            <w:tcW w:w="3060"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rPr>
                <w:rFonts w:ascii="Calibri" w:hAnsi="Calibri" w:cs="Calibri"/>
                <w:color w:val="000000"/>
                <w:szCs w:val="28"/>
              </w:rPr>
            </w:pPr>
            <w:r w:rsidRPr="008A305A">
              <w:rPr>
                <w:rFonts w:ascii="Calibri" w:hAnsi="Calibri" w:cs="Calibri"/>
                <w:color w:val="000000"/>
                <w:sz w:val="22"/>
                <w:szCs w:val="28"/>
              </w:rPr>
              <w:t>In various Easy Bill Outlets in the Jurisdiction of Discoms Areas. Consumer can produce the Electricity bills and operator of the respective centre shall receive the payment amount indicated in the bill in cash.</w:t>
            </w:r>
          </w:p>
        </w:tc>
        <w:tc>
          <w:tcPr>
            <w:tcW w:w="1758"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jc w:val="center"/>
              <w:rPr>
                <w:rFonts w:ascii="Calibri" w:hAnsi="Calibri" w:cs="Calibri"/>
                <w:color w:val="000000"/>
                <w:szCs w:val="28"/>
              </w:rPr>
            </w:pPr>
            <w:r w:rsidRPr="008A305A">
              <w:rPr>
                <w:rFonts w:ascii="Calibri" w:hAnsi="Calibri" w:cs="Calibri"/>
                <w:color w:val="000000"/>
                <w:sz w:val="22"/>
                <w:szCs w:val="28"/>
              </w:rPr>
              <w:t>07.12.2012</w:t>
            </w:r>
          </w:p>
        </w:tc>
        <w:tc>
          <w:tcPr>
            <w:tcW w:w="3372" w:type="dxa"/>
            <w:tcBorders>
              <w:top w:val="nil"/>
              <w:left w:val="nil"/>
              <w:bottom w:val="single" w:sz="4" w:space="0" w:color="auto"/>
              <w:right w:val="single" w:sz="4" w:space="0" w:color="auto"/>
            </w:tcBorders>
            <w:shd w:val="clear" w:color="auto" w:fill="auto"/>
            <w:vAlign w:val="center"/>
            <w:hideMark/>
          </w:tcPr>
          <w:p w:rsidR="00F80724" w:rsidRPr="008A305A" w:rsidRDefault="00F80724" w:rsidP="00E52EAD">
            <w:pPr>
              <w:rPr>
                <w:rFonts w:ascii="Calibri" w:hAnsi="Calibri" w:cs="Calibri"/>
                <w:color w:val="000000"/>
                <w:szCs w:val="28"/>
              </w:rPr>
            </w:pPr>
            <w:r w:rsidRPr="008A305A">
              <w:rPr>
                <w:rFonts w:ascii="Calibri" w:hAnsi="Calibri" w:cs="Calibri"/>
                <w:b/>
                <w:bCs/>
                <w:color w:val="000000"/>
                <w:sz w:val="22"/>
                <w:szCs w:val="28"/>
              </w:rPr>
              <w:t>Rs.5/- per transaction</w:t>
            </w:r>
            <w:r w:rsidRPr="008A305A">
              <w:rPr>
                <w:rFonts w:ascii="Calibri" w:hAnsi="Calibri" w:cs="Calibri"/>
                <w:color w:val="000000"/>
                <w:sz w:val="22"/>
                <w:szCs w:val="28"/>
              </w:rPr>
              <w:t xml:space="preserve"> plus service Tax. Paid by  Discoms . No cost to consumers.</w:t>
            </w:r>
          </w:p>
        </w:tc>
      </w:tr>
    </w:tbl>
    <w:p w:rsidR="00F80724" w:rsidRDefault="00F80724" w:rsidP="00F80724"/>
    <w:p w:rsidR="00A27225" w:rsidRPr="00331B7A" w:rsidRDefault="00A27225" w:rsidP="00CF66A5">
      <w:pPr>
        <w:pStyle w:val="Heading1"/>
        <w:numPr>
          <w:ilvl w:val="1"/>
          <w:numId w:val="49"/>
        </w:numPr>
        <w:spacing w:line="360" w:lineRule="auto"/>
        <w:jc w:val="both"/>
        <w:rPr>
          <w:bCs w:val="0"/>
          <w:sz w:val="22"/>
          <w:szCs w:val="22"/>
        </w:rPr>
      </w:pPr>
      <w:bookmarkStart w:id="77" w:name="_Toc404940188"/>
      <w:r w:rsidRPr="00331B7A">
        <w:rPr>
          <w:bCs w:val="0"/>
          <w:sz w:val="22"/>
          <w:szCs w:val="22"/>
        </w:rPr>
        <w:t>Past Performance and Initiatives by Discom</w:t>
      </w:r>
      <w:bookmarkEnd w:id="77"/>
    </w:p>
    <w:p w:rsidR="00F80724" w:rsidRPr="00331B7A" w:rsidRDefault="00F80724" w:rsidP="00F80724">
      <w:pPr>
        <w:rPr>
          <w:rFonts w:ascii="Arial" w:hAnsi="Arial" w:cs="Arial"/>
          <w:sz w:val="22"/>
          <w:szCs w:val="22"/>
        </w:rPr>
      </w:pPr>
    </w:p>
    <w:p w:rsidR="00B10FD2" w:rsidRPr="00331B7A" w:rsidRDefault="00B10FD2" w:rsidP="00CF66A5">
      <w:pPr>
        <w:pStyle w:val="ListParagraph"/>
        <w:numPr>
          <w:ilvl w:val="2"/>
          <w:numId w:val="49"/>
        </w:numPr>
        <w:jc w:val="both"/>
        <w:rPr>
          <w:rFonts w:ascii="Arial" w:hAnsi="Arial" w:cs="Arial"/>
          <w:b/>
          <w:u w:val="single"/>
        </w:rPr>
      </w:pPr>
      <w:r w:rsidRPr="00331B7A">
        <w:rPr>
          <w:rFonts w:ascii="Arial" w:hAnsi="Arial" w:cs="Arial"/>
          <w:b/>
          <w:u w:val="single"/>
        </w:rPr>
        <w:t>T&amp;D and AT&amp;C Loss</w:t>
      </w:r>
    </w:p>
    <w:p w:rsidR="00B10FD2" w:rsidRPr="00331B7A" w:rsidRDefault="00B10FD2" w:rsidP="00B10FD2">
      <w:pPr>
        <w:spacing w:line="360" w:lineRule="auto"/>
        <w:ind w:left="360"/>
        <w:jc w:val="both"/>
        <w:rPr>
          <w:rFonts w:ascii="Arial" w:hAnsi="Arial" w:cs="Arial"/>
          <w:b/>
          <w:sz w:val="22"/>
          <w:szCs w:val="22"/>
        </w:rPr>
      </w:pPr>
      <w:r w:rsidRPr="00331B7A">
        <w:rPr>
          <w:rFonts w:ascii="Arial" w:hAnsi="Arial" w:cs="Arial"/>
          <w:sz w:val="22"/>
          <w:szCs w:val="22"/>
        </w:rPr>
        <w:t xml:space="preserve">NESCO has reduced its total T&amp;D Loss by </w:t>
      </w:r>
      <w:r w:rsidR="00254B9C" w:rsidRPr="00331B7A">
        <w:rPr>
          <w:rFonts w:ascii="Arial" w:hAnsi="Arial" w:cs="Arial"/>
          <w:sz w:val="22"/>
          <w:szCs w:val="22"/>
        </w:rPr>
        <w:t>2.40</w:t>
      </w:r>
      <w:r w:rsidRPr="00331B7A">
        <w:rPr>
          <w:rFonts w:ascii="Arial" w:hAnsi="Arial" w:cs="Arial"/>
          <w:sz w:val="22"/>
          <w:szCs w:val="22"/>
        </w:rPr>
        <w:t xml:space="preserve">% and AT&amp;C Loss by </w:t>
      </w:r>
      <w:r w:rsidR="00254B9C" w:rsidRPr="00331B7A">
        <w:rPr>
          <w:rFonts w:ascii="Arial" w:hAnsi="Arial" w:cs="Arial"/>
          <w:sz w:val="22"/>
          <w:szCs w:val="22"/>
        </w:rPr>
        <w:t>1.76</w:t>
      </w:r>
      <w:r w:rsidRPr="00331B7A">
        <w:rPr>
          <w:rFonts w:ascii="Arial" w:hAnsi="Arial" w:cs="Arial"/>
          <w:sz w:val="22"/>
          <w:szCs w:val="22"/>
        </w:rPr>
        <w:t>%. Special Disconnection, Billing and Vigilance activities has been initiated under Loss making Divisions. Out of which Bhadrak South Electrical Division (BSED) has shown best improvement. Under BSED the T&amp; D loss has reduced by 14.9</w:t>
      </w:r>
      <w:r w:rsidR="00254B9C" w:rsidRPr="00331B7A">
        <w:rPr>
          <w:rFonts w:ascii="Arial" w:hAnsi="Arial" w:cs="Arial"/>
          <w:sz w:val="22"/>
          <w:szCs w:val="22"/>
        </w:rPr>
        <w:t>2</w:t>
      </w:r>
      <w:r w:rsidRPr="00331B7A">
        <w:rPr>
          <w:rFonts w:ascii="Arial" w:hAnsi="Arial" w:cs="Arial"/>
          <w:sz w:val="22"/>
          <w:szCs w:val="22"/>
        </w:rPr>
        <w:t>% and AT&amp;C loss by 14.</w:t>
      </w:r>
      <w:r w:rsidR="00254B9C" w:rsidRPr="00331B7A">
        <w:rPr>
          <w:rFonts w:ascii="Arial" w:hAnsi="Arial" w:cs="Arial"/>
          <w:sz w:val="22"/>
          <w:szCs w:val="22"/>
        </w:rPr>
        <w:t>26</w:t>
      </w:r>
      <w:r w:rsidRPr="00331B7A">
        <w:rPr>
          <w:rFonts w:ascii="Arial" w:hAnsi="Arial" w:cs="Arial"/>
          <w:sz w:val="22"/>
          <w:szCs w:val="22"/>
        </w:rPr>
        <w:t>%.</w:t>
      </w:r>
    </w:p>
    <w:p w:rsidR="00B10FD2" w:rsidRPr="00331B7A" w:rsidRDefault="00B10FD2" w:rsidP="00CF66A5">
      <w:pPr>
        <w:pStyle w:val="ListParagraph"/>
        <w:numPr>
          <w:ilvl w:val="2"/>
          <w:numId w:val="49"/>
        </w:numPr>
        <w:jc w:val="both"/>
        <w:rPr>
          <w:rFonts w:ascii="Arial" w:hAnsi="Arial" w:cs="Arial"/>
          <w:b/>
          <w:u w:val="single"/>
        </w:rPr>
      </w:pPr>
      <w:r w:rsidRPr="00331B7A">
        <w:rPr>
          <w:rFonts w:ascii="Arial" w:hAnsi="Arial" w:cs="Arial"/>
          <w:b/>
          <w:u w:val="single"/>
        </w:rPr>
        <w:t>Vigilance Activities:</w:t>
      </w:r>
    </w:p>
    <w:p w:rsidR="00B10FD2" w:rsidRPr="00331B7A" w:rsidRDefault="00B10FD2" w:rsidP="00B10FD2">
      <w:pPr>
        <w:spacing w:line="360" w:lineRule="auto"/>
        <w:ind w:left="360"/>
        <w:jc w:val="both"/>
        <w:rPr>
          <w:rFonts w:ascii="Arial" w:hAnsi="Arial" w:cs="Arial"/>
          <w:sz w:val="22"/>
          <w:szCs w:val="22"/>
        </w:rPr>
      </w:pPr>
      <w:r w:rsidRPr="00331B7A">
        <w:rPr>
          <w:rFonts w:ascii="Arial" w:hAnsi="Arial" w:cs="Arial"/>
          <w:sz w:val="22"/>
          <w:szCs w:val="22"/>
        </w:rPr>
        <w:t>NESCO has strengthened its Vigilance department by posting dedicated 13 nos of executives at Corporate and Field level headed by Chief Vigilance Officer. Vigilance performance has improved considerably in comparison to last Financial Year for the period April to September.</w:t>
      </w:r>
    </w:p>
    <w:tbl>
      <w:tblPr>
        <w:tblW w:w="8324" w:type="dxa"/>
        <w:tblInd w:w="468" w:type="dxa"/>
        <w:tblLook w:val="04A0"/>
      </w:tblPr>
      <w:tblGrid>
        <w:gridCol w:w="4500"/>
        <w:gridCol w:w="1890"/>
        <w:gridCol w:w="1934"/>
      </w:tblGrid>
      <w:tr w:rsidR="00B10FD2" w:rsidRPr="00331B7A" w:rsidTr="008C477D">
        <w:trPr>
          <w:trHeight w:val="480"/>
        </w:trPr>
        <w:tc>
          <w:tcPr>
            <w:tcW w:w="4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FD2" w:rsidRPr="00331B7A" w:rsidRDefault="00B10FD2" w:rsidP="008C477D">
            <w:pPr>
              <w:rPr>
                <w:rFonts w:ascii="Arial" w:hAnsi="Arial" w:cs="Arial"/>
                <w:b/>
                <w:sz w:val="22"/>
                <w:szCs w:val="22"/>
              </w:rPr>
            </w:pPr>
            <w:r w:rsidRPr="00331B7A">
              <w:rPr>
                <w:rFonts w:ascii="Arial" w:hAnsi="Arial" w:cs="Arial"/>
                <w:b/>
                <w:sz w:val="22"/>
                <w:szCs w:val="22"/>
              </w:rPr>
              <w:t>Activities</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rsidR="00B10FD2" w:rsidRPr="00331B7A" w:rsidRDefault="00B10FD2" w:rsidP="008C477D">
            <w:pPr>
              <w:jc w:val="center"/>
              <w:rPr>
                <w:rFonts w:ascii="Arial" w:hAnsi="Arial" w:cs="Arial"/>
                <w:b/>
                <w:sz w:val="22"/>
                <w:szCs w:val="22"/>
              </w:rPr>
            </w:pPr>
            <w:r w:rsidRPr="00331B7A">
              <w:rPr>
                <w:rFonts w:ascii="Arial" w:hAnsi="Arial" w:cs="Arial"/>
                <w:b/>
                <w:sz w:val="22"/>
                <w:szCs w:val="22"/>
              </w:rPr>
              <w:t>Apr 13 - Sep 13</w:t>
            </w:r>
          </w:p>
        </w:tc>
        <w:tc>
          <w:tcPr>
            <w:tcW w:w="1934" w:type="dxa"/>
            <w:tcBorders>
              <w:top w:val="single" w:sz="4" w:space="0" w:color="auto"/>
              <w:left w:val="nil"/>
              <w:bottom w:val="single" w:sz="4" w:space="0" w:color="auto"/>
              <w:right w:val="single" w:sz="4" w:space="0" w:color="auto"/>
            </w:tcBorders>
            <w:shd w:val="clear" w:color="auto" w:fill="auto"/>
            <w:vAlign w:val="center"/>
            <w:hideMark/>
          </w:tcPr>
          <w:p w:rsidR="00B10FD2" w:rsidRPr="00331B7A" w:rsidRDefault="00B10FD2" w:rsidP="008C477D">
            <w:pPr>
              <w:jc w:val="center"/>
              <w:rPr>
                <w:rFonts w:ascii="Arial" w:hAnsi="Arial" w:cs="Arial"/>
                <w:b/>
                <w:sz w:val="22"/>
                <w:szCs w:val="22"/>
              </w:rPr>
            </w:pPr>
            <w:r w:rsidRPr="00331B7A">
              <w:rPr>
                <w:rFonts w:ascii="Arial" w:hAnsi="Arial" w:cs="Arial"/>
                <w:b/>
                <w:sz w:val="22"/>
                <w:szCs w:val="22"/>
              </w:rPr>
              <w:t>Apr 14 – Sep 14</w:t>
            </w:r>
          </w:p>
        </w:tc>
      </w:tr>
      <w:tr w:rsidR="00B10FD2" w:rsidRPr="00331B7A" w:rsidTr="008C477D">
        <w:trPr>
          <w:trHeight w:val="480"/>
        </w:trPr>
        <w:tc>
          <w:tcPr>
            <w:tcW w:w="4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FD2" w:rsidRPr="00331B7A" w:rsidRDefault="00B10FD2" w:rsidP="008C477D">
            <w:pPr>
              <w:rPr>
                <w:rFonts w:ascii="Arial" w:hAnsi="Arial" w:cs="Arial"/>
                <w:sz w:val="22"/>
                <w:szCs w:val="22"/>
              </w:rPr>
            </w:pPr>
            <w:r w:rsidRPr="00331B7A">
              <w:rPr>
                <w:rFonts w:ascii="Arial" w:hAnsi="Arial" w:cs="Arial"/>
                <w:sz w:val="22"/>
                <w:szCs w:val="22"/>
              </w:rPr>
              <w:t>No of cases Finalised under Section 126 &amp; 135</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rsidR="00B10FD2" w:rsidRPr="00331B7A" w:rsidRDefault="00B10FD2" w:rsidP="008C477D">
            <w:pPr>
              <w:jc w:val="center"/>
              <w:rPr>
                <w:rFonts w:ascii="Arial" w:hAnsi="Arial" w:cs="Arial"/>
                <w:sz w:val="22"/>
                <w:szCs w:val="22"/>
              </w:rPr>
            </w:pPr>
            <w:r w:rsidRPr="00331B7A">
              <w:rPr>
                <w:rFonts w:ascii="Arial" w:hAnsi="Arial" w:cs="Arial"/>
                <w:sz w:val="22"/>
                <w:szCs w:val="22"/>
              </w:rPr>
              <w:t>1467</w:t>
            </w:r>
          </w:p>
        </w:tc>
        <w:tc>
          <w:tcPr>
            <w:tcW w:w="1934" w:type="dxa"/>
            <w:tcBorders>
              <w:top w:val="single" w:sz="4" w:space="0" w:color="auto"/>
              <w:left w:val="nil"/>
              <w:bottom w:val="single" w:sz="4" w:space="0" w:color="auto"/>
              <w:right w:val="single" w:sz="4" w:space="0" w:color="auto"/>
            </w:tcBorders>
            <w:shd w:val="clear" w:color="auto" w:fill="auto"/>
            <w:vAlign w:val="center"/>
            <w:hideMark/>
          </w:tcPr>
          <w:p w:rsidR="00B10FD2" w:rsidRPr="00331B7A" w:rsidRDefault="00B10FD2" w:rsidP="008C477D">
            <w:pPr>
              <w:jc w:val="center"/>
              <w:rPr>
                <w:rFonts w:ascii="Arial" w:hAnsi="Arial" w:cs="Arial"/>
                <w:sz w:val="22"/>
                <w:szCs w:val="22"/>
              </w:rPr>
            </w:pPr>
            <w:r w:rsidRPr="00331B7A">
              <w:rPr>
                <w:rFonts w:ascii="Arial" w:hAnsi="Arial" w:cs="Arial"/>
                <w:sz w:val="22"/>
                <w:szCs w:val="22"/>
              </w:rPr>
              <w:t>3373</w:t>
            </w:r>
          </w:p>
        </w:tc>
      </w:tr>
      <w:tr w:rsidR="00B10FD2" w:rsidRPr="00331B7A" w:rsidTr="008C477D">
        <w:trPr>
          <w:trHeight w:val="480"/>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B10FD2" w:rsidRPr="00331B7A" w:rsidRDefault="00B10FD2" w:rsidP="008C477D">
            <w:pPr>
              <w:rPr>
                <w:rFonts w:ascii="Arial" w:hAnsi="Arial" w:cs="Arial"/>
                <w:sz w:val="22"/>
                <w:szCs w:val="22"/>
              </w:rPr>
            </w:pPr>
            <w:r w:rsidRPr="00331B7A">
              <w:rPr>
                <w:rFonts w:ascii="Arial" w:hAnsi="Arial" w:cs="Arial"/>
                <w:sz w:val="22"/>
                <w:szCs w:val="22"/>
              </w:rPr>
              <w:t>Amount Finalised (Rs. Cr.)</w:t>
            </w:r>
          </w:p>
        </w:tc>
        <w:tc>
          <w:tcPr>
            <w:tcW w:w="1890" w:type="dxa"/>
            <w:tcBorders>
              <w:top w:val="nil"/>
              <w:left w:val="nil"/>
              <w:bottom w:val="single" w:sz="4" w:space="0" w:color="auto"/>
              <w:right w:val="single" w:sz="4" w:space="0" w:color="auto"/>
            </w:tcBorders>
            <w:shd w:val="clear" w:color="auto" w:fill="auto"/>
            <w:vAlign w:val="center"/>
            <w:hideMark/>
          </w:tcPr>
          <w:p w:rsidR="00B10FD2" w:rsidRPr="00331B7A" w:rsidRDefault="00B10FD2" w:rsidP="008C477D">
            <w:pPr>
              <w:jc w:val="center"/>
              <w:rPr>
                <w:rFonts w:ascii="Arial" w:hAnsi="Arial" w:cs="Arial"/>
                <w:sz w:val="22"/>
                <w:szCs w:val="22"/>
              </w:rPr>
            </w:pPr>
            <w:r w:rsidRPr="00331B7A">
              <w:rPr>
                <w:rFonts w:ascii="Arial" w:hAnsi="Arial" w:cs="Arial"/>
                <w:sz w:val="22"/>
                <w:szCs w:val="22"/>
              </w:rPr>
              <w:t>1.62</w:t>
            </w:r>
          </w:p>
        </w:tc>
        <w:tc>
          <w:tcPr>
            <w:tcW w:w="1934" w:type="dxa"/>
            <w:tcBorders>
              <w:top w:val="nil"/>
              <w:left w:val="nil"/>
              <w:bottom w:val="single" w:sz="4" w:space="0" w:color="auto"/>
              <w:right w:val="single" w:sz="4" w:space="0" w:color="auto"/>
            </w:tcBorders>
            <w:shd w:val="clear" w:color="auto" w:fill="auto"/>
            <w:vAlign w:val="center"/>
            <w:hideMark/>
          </w:tcPr>
          <w:p w:rsidR="00B10FD2" w:rsidRPr="00331B7A" w:rsidRDefault="00B10FD2" w:rsidP="008C477D">
            <w:pPr>
              <w:jc w:val="center"/>
              <w:rPr>
                <w:rFonts w:ascii="Arial" w:hAnsi="Arial" w:cs="Arial"/>
                <w:sz w:val="22"/>
                <w:szCs w:val="22"/>
              </w:rPr>
            </w:pPr>
            <w:r w:rsidRPr="00331B7A">
              <w:rPr>
                <w:rFonts w:ascii="Arial" w:hAnsi="Arial" w:cs="Arial"/>
                <w:sz w:val="22"/>
                <w:szCs w:val="22"/>
              </w:rPr>
              <w:t>7.17</w:t>
            </w:r>
          </w:p>
        </w:tc>
      </w:tr>
      <w:tr w:rsidR="00B10FD2" w:rsidRPr="00331B7A" w:rsidTr="008C477D">
        <w:trPr>
          <w:trHeight w:val="480"/>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B10FD2" w:rsidRPr="00331B7A" w:rsidRDefault="00B10FD2" w:rsidP="008C477D">
            <w:pPr>
              <w:rPr>
                <w:rFonts w:ascii="Arial" w:hAnsi="Arial" w:cs="Arial"/>
                <w:sz w:val="22"/>
                <w:szCs w:val="22"/>
              </w:rPr>
            </w:pPr>
            <w:r w:rsidRPr="00331B7A">
              <w:rPr>
                <w:rFonts w:ascii="Arial" w:hAnsi="Arial" w:cs="Arial"/>
                <w:sz w:val="22"/>
                <w:szCs w:val="22"/>
              </w:rPr>
              <w:t>NO. of FIR Lodged</w:t>
            </w:r>
          </w:p>
        </w:tc>
        <w:tc>
          <w:tcPr>
            <w:tcW w:w="1890" w:type="dxa"/>
            <w:tcBorders>
              <w:top w:val="nil"/>
              <w:left w:val="nil"/>
              <w:bottom w:val="single" w:sz="4" w:space="0" w:color="auto"/>
              <w:right w:val="single" w:sz="4" w:space="0" w:color="auto"/>
            </w:tcBorders>
            <w:shd w:val="clear" w:color="auto" w:fill="auto"/>
            <w:vAlign w:val="center"/>
            <w:hideMark/>
          </w:tcPr>
          <w:p w:rsidR="00B10FD2" w:rsidRPr="00331B7A" w:rsidRDefault="00B10FD2" w:rsidP="008C477D">
            <w:pPr>
              <w:jc w:val="center"/>
              <w:rPr>
                <w:rFonts w:ascii="Arial" w:hAnsi="Arial" w:cs="Arial"/>
                <w:sz w:val="22"/>
                <w:szCs w:val="22"/>
              </w:rPr>
            </w:pPr>
            <w:r w:rsidRPr="00331B7A">
              <w:rPr>
                <w:rFonts w:ascii="Arial" w:hAnsi="Arial" w:cs="Arial"/>
                <w:sz w:val="22"/>
                <w:szCs w:val="22"/>
              </w:rPr>
              <w:t>53</w:t>
            </w:r>
          </w:p>
        </w:tc>
        <w:tc>
          <w:tcPr>
            <w:tcW w:w="1934" w:type="dxa"/>
            <w:tcBorders>
              <w:top w:val="nil"/>
              <w:left w:val="nil"/>
              <w:bottom w:val="single" w:sz="4" w:space="0" w:color="auto"/>
              <w:right w:val="single" w:sz="4" w:space="0" w:color="auto"/>
            </w:tcBorders>
            <w:shd w:val="clear" w:color="auto" w:fill="auto"/>
            <w:vAlign w:val="center"/>
            <w:hideMark/>
          </w:tcPr>
          <w:p w:rsidR="00B10FD2" w:rsidRPr="00331B7A" w:rsidRDefault="00B10FD2" w:rsidP="008C477D">
            <w:pPr>
              <w:jc w:val="center"/>
              <w:rPr>
                <w:rFonts w:ascii="Arial" w:hAnsi="Arial" w:cs="Arial"/>
                <w:sz w:val="22"/>
                <w:szCs w:val="22"/>
              </w:rPr>
            </w:pPr>
            <w:r w:rsidRPr="00331B7A">
              <w:rPr>
                <w:rFonts w:ascii="Arial" w:hAnsi="Arial" w:cs="Arial"/>
                <w:sz w:val="22"/>
                <w:szCs w:val="22"/>
              </w:rPr>
              <w:t>90</w:t>
            </w:r>
          </w:p>
        </w:tc>
      </w:tr>
      <w:tr w:rsidR="00B10FD2" w:rsidRPr="00331B7A" w:rsidTr="008C477D">
        <w:trPr>
          <w:trHeight w:val="480"/>
        </w:trPr>
        <w:tc>
          <w:tcPr>
            <w:tcW w:w="4500" w:type="dxa"/>
            <w:tcBorders>
              <w:top w:val="nil"/>
              <w:left w:val="single" w:sz="4" w:space="0" w:color="auto"/>
              <w:bottom w:val="single" w:sz="4" w:space="0" w:color="auto"/>
              <w:right w:val="single" w:sz="4" w:space="0" w:color="auto"/>
            </w:tcBorders>
            <w:shd w:val="clear" w:color="auto" w:fill="auto"/>
            <w:vAlign w:val="center"/>
            <w:hideMark/>
          </w:tcPr>
          <w:p w:rsidR="00B10FD2" w:rsidRPr="00331B7A" w:rsidRDefault="00B10FD2" w:rsidP="008C477D">
            <w:pPr>
              <w:rPr>
                <w:rFonts w:ascii="Arial" w:hAnsi="Arial" w:cs="Arial"/>
                <w:sz w:val="22"/>
                <w:szCs w:val="22"/>
              </w:rPr>
            </w:pPr>
            <w:r w:rsidRPr="00331B7A">
              <w:rPr>
                <w:rFonts w:ascii="Arial" w:hAnsi="Arial" w:cs="Arial"/>
                <w:sz w:val="22"/>
                <w:szCs w:val="22"/>
              </w:rPr>
              <w:t>No. of illegal consumers prosecuted/Initiated in Court</w:t>
            </w:r>
          </w:p>
        </w:tc>
        <w:tc>
          <w:tcPr>
            <w:tcW w:w="1890" w:type="dxa"/>
            <w:tcBorders>
              <w:top w:val="nil"/>
              <w:left w:val="nil"/>
              <w:bottom w:val="single" w:sz="4" w:space="0" w:color="auto"/>
              <w:right w:val="single" w:sz="4" w:space="0" w:color="auto"/>
            </w:tcBorders>
            <w:shd w:val="clear" w:color="auto" w:fill="auto"/>
            <w:vAlign w:val="center"/>
            <w:hideMark/>
          </w:tcPr>
          <w:p w:rsidR="00B10FD2" w:rsidRPr="00331B7A" w:rsidRDefault="00B10FD2" w:rsidP="008C477D">
            <w:pPr>
              <w:jc w:val="center"/>
              <w:rPr>
                <w:rFonts w:ascii="Arial" w:hAnsi="Arial" w:cs="Arial"/>
                <w:sz w:val="22"/>
                <w:szCs w:val="22"/>
              </w:rPr>
            </w:pPr>
            <w:r w:rsidRPr="00331B7A">
              <w:rPr>
                <w:rFonts w:ascii="Arial" w:hAnsi="Arial" w:cs="Arial"/>
                <w:sz w:val="22"/>
                <w:szCs w:val="22"/>
              </w:rPr>
              <w:t>20</w:t>
            </w:r>
          </w:p>
        </w:tc>
        <w:tc>
          <w:tcPr>
            <w:tcW w:w="1934" w:type="dxa"/>
            <w:tcBorders>
              <w:top w:val="nil"/>
              <w:left w:val="nil"/>
              <w:bottom w:val="single" w:sz="4" w:space="0" w:color="auto"/>
              <w:right w:val="single" w:sz="4" w:space="0" w:color="auto"/>
            </w:tcBorders>
            <w:shd w:val="clear" w:color="auto" w:fill="auto"/>
            <w:vAlign w:val="center"/>
            <w:hideMark/>
          </w:tcPr>
          <w:p w:rsidR="00B10FD2" w:rsidRPr="00331B7A" w:rsidRDefault="00B10FD2" w:rsidP="008C477D">
            <w:pPr>
              <w:jc w:val="center"/>
              <w:rPr>
                <w:rFonts w:ascii="Arial" w:hAnsi="Arial" w:cs="Arial"/>
                <w:sz w:val="22"/>
                <w:szCs w:val="22"/>
              </w:rPr>
            </w:pPr>
            <w:r w:rsidRPr="00331B7A">
              <w:rPr>
                <w:rFonts w:ascii="Arial" w:hAnsi="Arial" w:cs="Arial"/>
                <w:sz w:val="22"/>
                <w:szCs w:val="22"/>
              </w:rPr>
              <w:t>36</w:t>
            </w:r>
          </w:p>
        </w:tc>
      </w:tr>
    </w:tbl>
    <w:p w:rsidR="00B10FD2" w:rsidRPr="00331B7A" w:rsidRDefault="00B10FD2" w:rsidP="00B10FD2">
      <w:pPr>
        <w:jc w:val="both"/>
        <w:rPr>
          <w:rFonts w:ascii="Arial" w:hAnsi="Arial" w:cs="Arial"/>
          <w:sz w:val="22"/>
          <w:szCs w:val="22"/>
        </w:rPr>
      </w:pPr>
    </w:p>
    <w:p w:rsidR="00B10FD2" w:rsidRPr="00331B7A" w:rsidRDefault="00B10FD2" w:rsidP="00CF66A5">
      <w:pPr>
        <w:pStyle w:val="ListParagraph"/>
        <w:numPr>
          <w:ilvl w:val="2"/>
          <w:numId w:val="49"/>
        </w:numPr>
        <w:jc w:val="both"/>
        <w:rPr>
          <w:rFonts w:ascii="Arial" w:hAnsi="Arial" w:cs="Arial"/>
        </w:rPr>
      </w:pPr>
      <w:r w:rsidRPr="00331B7A">
        <w:rPr>
          <w:rFonts w:ascii="Arial" w:hAnsi="Arial" w:cs="Arial"/>
          <w:b/>
          <w:u w:val="single"/>
        </w:rPr>
        <w:t>M</w:t>
      </w:r>
      <w:r w:rsidR="00D104AB" w:rsidRPr="00331B7A">
        <w:rPr>
          <w:rFonts w:ascii="Arial" w:hAnsi="Arial" w:cs="Arial"/>
          <w:b/>
          <w:u w:val="single"/>
        </w:rPr>
        <w:t>obile &amp; Photo Mobile Phon</w:t>
      </w:r>
      <w:r w:rsidRPr="00331B7A">
        <w:rPr>
          <w:rFonts w:ascii="Arial" w:hAnsi="Arial" w:cs="Arial"/>
          <w:b/>
          <w:u w:val="single"/>
        </w:rPr>
        <w:t>e based Photo Billing</w:t>
      </w:r>
    </w:p>
    <w:p w:rsidR="00B10FD2" w:rsidRPr="00331B7A" w:rsidRDefault="00B10FD2" w:rsidP="00B10FD2">
      <w:pPr>
        <w:spacing w:line="360" w:lineRule="auto"/>
        <w:ind w:firstLine="360"/>
        <w:jc w:val="both"/>
        <w:rPr>
          <w:rFonts w:ascii="Arial" w:hAnsi="Arial" w:cs="Arial"/>
          <w:sz w:val="22"/>
          <w:szCs w:val="22"/>
        </w:rPr>
      </w:pPr>
      <w:r w:rsidRPr="00331B7A">
        <w:rPr>
          <w:rFonts w:ascii="Arial" w:hAnsi="Arial" w:cs="Arial"/>
          <w:sz w:val="22"/>
          <w:szCs w:val="22"/>
        </w:rPr>
        <w:t>NESCO is now carrying out Mobile billing with Photo at:</w:t>
      </w:r>
    </w:p>
    <w:p w:rsidR="00B10FD2" w:rsidRPr="00331B7A" w:rsidRDefault="00B10FD2" w:rsidP="00CF66A5">
      <w:pPr>
        <w:pStyle w:val="ListParagraph"/>
        <w:numPr>
          <w:ilvl w:val="0"/>
          <w:numId w:val="44"/>
        </w:numPr>
        <w:spacing w:line="360" w:lineRule="auto"/>
        <w:jc w:val="both"/>
        <w:rPr>
          <w:rFonts w:ascii="Arial" w:hAnsi="Arial" w:cs="Arial"/>
        </w:rPr>
      </w:pPr>
      <w:r w:rsidRPr="00331B7A">
        <w:rPr>
          <w:rFonts w:ascii="Arial" w:hAnsi="Arial" w:cs="Arial"/>
        </w:rPr>
        <w:t xml:space="preserve">Dhamra, No.I &amp; No. II Sub-division under Bhadrak North Electrical Division. </w:t>
      </w:r>
    </w:p>
    <w:p w:rsidR="00B10FD2" w:rsidRPr="00331B7A" w:rsidRDefault="00B10FD2" w:rsidP="00CF66A5">
      <w:pPr>
        <w:pStyle w:val="ListParagraph"/>
        <w:numPr>
          <w:ilvl w:val="0"/>
          <w:numId w:val="44"/>
        </w:numPr>
        <w:spacing w:line="360" w:lineRule="auto"/>
        <w:jc w:val="both"/>
        <w:rPr>
          <w:rFonts w:ascii="Arial" w:hAnsi="Arial" w:cs="Arial"/>
        </w:rPr>
      </w:pPr>
      <w:r w:rsidRPr="00331B7A">
        <w:rPr>
          <w:rFonts w:ascii="Arial" w:hAnsi="Arial" w:cs="Arial"/>
        </w:rPr>
        <w:t>Dhamnagar and Bhandarpokhari Section under Bhadrak South Electrical Division.</w:t>
      </w:r>
    </w:p>
    <w:p w:rsidR="00B10FD2" w:rsidRPr="00331B7A" w:rsidRDefault="00B10FD2" w:rsidP="00CF66A5">
      <w:pPr>
        <w:pStyle w:val="ListParagraph"/>
        <w:numPr>
          <w:ilvl w:val="0"/>
          <w:numId w:val="44"/>
        </w:numPr>
        <w:spacing w:line="360" w:lineRule="auto"/>
        <w:jc w:val="both"/>
        <w:rPr>
          <w:rFonts w:ascii="Arial" w:hAnsi="Arial" w:cs="Arial"/>
        </w:rPr>
      </w:pPr>
      <w:r w:rsidRPr="00331B7A">
        <w:rPr>
          <w:rFonts w:ascii="Arial" w:hAnsi="Arial" w:cs="Arial"/>
        </w:rPr>
        <w:t>Chorda, Dala and Danagadi Section under Jajpur Road Electrical Division.</w:t>
      </w:r>
    </w:p>
    <w:p w:rsidR="00B10FD2" w:rsidRPr="00331B7A" w:rsidRDefault="00B10FD2" w:rsidP="00B10FD2">
      <w:pPr>
        <w:spacing w:line="360" w:lineRule="auto"/>
        <w:ind w:left="360"/>
        <w:jc w:val="both"/>
        <w:rPr>
          <w:rFonts w:ascii="Arial" w:hAnsi="Arial" w:cs="Arial"/>
          <w:sz w:val="22"/>
          <w:szCs w:val="22"/>
        </w:rPr>
      </w:pPr>
      <w:r w:rsidRPr="00331B7A">
        <w:rPr>
          <w:rFonts w:ascii="Arial" w:hAnsi="Arial" w:cs="Arial"/>
          <w:sz w:val="22"/>
          <w:szCs w:val="22"/>
        </w:rPr>
        <w:t>In total at present 86,000 consumers are being covered in the above billing system. Total MU billed for above consumers has increased by 35%. It is proposed to introduce mobile billing to entire Keonjhar and Joda Electrical Division &amp; two Sub-Divisions under Jajpur Town Division. As of now, the Tendering process is on to procure 470 Mobiles with Bluetooth Printer so as to implement in entire Jajpur &amp; Keonjhar Electrical Circle in a phased manner.</w:t>
      </w:r>
    </w:p>
    <w:p w:rsidR="00B10FD2" w:rsidRPr="00331B7A" w:rsidRDefault="00B10FD2" w:rsidP="00CF66A5">
      <w:pPr>
        <w:pStyle w:val="ListParagraph"/>
        <w:numPr>
          <w:ilvl w:val="2"/>
          <w:numId w:val="49"/>
        </w:numPr>
        <w:rPr>
          <w:rFonts w:ascii="Arial" w:hAnsi="Arial" w:cs="Arial"/>
          <w:b/>
          <w:lang w:val="en-GB"/>
        </w:rPr>
      </w:pPr>
      <w:r w:rsidRPr="00331B7A">
        <w:rPr>
          <w:rFonts w:ascii="Arial" w:hAnsi="Arial" w:cs="Arial"/>
          <w:b/>
          <w:bCs/>
          <w:u w:val="single"/>
        </w:rPr>
        <w:t>Initiatives in improving LT Billing &amp; Collection:</w:t>
      </w:r>
    </w:p>
    <w:p w:rsidR="00B10FD2" w:rsidRPr="00331B7A" w:rsidRDefault="00B10FD2" w:rsidP="00B10FD2">
      <w:pPr>
        <w:pStyle w:val="ListParagraph"/>
        <w:rPr>
          <w:rFonts w:ascii="Arial" w:hAnsi="Arial" w:cs="Arial"/>
          <w:b/>
          <w:lang w:val="en-GB"/>
        </w:rPr>
      </w:pPr>
    </w:p>
    <w:p w:rsidR="00B10FD2" w:rsidRPr="00331B7A" w:rsidRDefault="00B10FD2" w:rsidP="00CF66A5">
      <w:pPr>
        <w:pStyle w:val="ListParagraph"/>
        <w:numPr>
          <w:ilvl w:val="0"/>
          <w:numId w:val="45"/>
        </w:numPr>
        <w:spacing w:line="360" w:lineRule="auto"/>
        <w:jc w:val="both"/>
        <w:rPr>
          <w:rFonts w:ascii="Arial" w:hAnsi="Arial" w:cs="Arial"/>
        </w:rPr>
      </w:pPr>
      <w:r w:rsidRPr="00331B7A">
        <w:rPr>
          <w:rFonts w:ascii="Arial" w:hAnsi="Arial" w:cs="Arial"/>
        </w:rPr>
        <w:t>Web-based Monitoring of billing &amp; meter-reader performance of Spot Billing Agencies</w:t>
      </w:r>
    </w:p>
    <w:p w:rsidR="00B10FD2" w:rsidRPr="00331B7A" w:rsidRDefault="00B10FD2" w:rsidP="00CF66A5">
      <w:pPr>
        <w:pStyle w:val="ListParagraph"/>
        <w:numPr>
          <w:ilvl w:val="0"/>
          <w:numId w:val="45"/>
        </w:numPr>
        <w:spacing w:line="360" w:lineRule="auto"/>
        <w:jc w:val="both"/>
        <w:rPr>
          <w:rFonts w:ascii="Arial" w:hAnsi="Arial" w:cs="Arial"/>
        </w:rPr>
      </w:pPr>
      <w:r w:rsidRPr="00331B7A">
        <w:rPr>
          <w:rFonts w:ascii="Arial" w:hAnsi="Arial" w:cs="Arial"/>
        </w:rPr>
        <w:lastRenderedPageBreak/>
        <w:t>Random sampling done and penalty is imposed on Spot Billing Agencies to ensure adherence to SLAs.</w:t>
      </w:r>
    </w:p>
    <w:p w:rsidR="00B10FD2" w:rsidRPr="00331B7A" w:rsidRDefault="00B10FD2" w:rsidP="00CF66A5">
      <w:pPr>
        <w:pStyle w:val="ListParagraph"/>
        <w:numPr>
          <w:ilvl w:val="0"/>
          <w:numId w:val="45"/>
        </w:numPr>
        <w:spacing w:line="360" w:lineRule="auto"/>
        <w:jc w:val="both"/>
        <w:rPr>
          <w:rFonts w:ascii="Arial" w:hAnsi="Arial" w:cs="Arial"/>
        </w:rPr>
      </w:pPr>
      <w:r w:rsidRPr="00331B7A">
        <w:rPr>
          <w:rFonts w:ascii="Arial" w:hAnsi="Arial" w:cs="Arial"/>
        </w:rPr>
        <w:t>GPRS enabled spot billing activity is carried out in Baripada Circle</w:t>
      </w:r>
    </w:p>
    <w:p w:rsidR="00B10FD2" w:rsidRPr="00331B7A" w:rsidRDefault="00B10FD2" w:rsidP="00CF66A5">
      <w:pPr>
        <w:pStyle w:val="ListParagraph"/>
        <w:numPr>
          <w:ilvl w:val="0"/>
          <w:numId w:val="45"/>
        </w:numPr>
        <w:spacing w:line="360" w:lineRule="auto"/>
        <w:jc w:val="both"/>
        <w:rPr>
          <w:rFonts w:ascii="Arial" w:hAnsi="Arial" w:cs="Arial"/>
        </w:rPr>
      </w:pPr>
      <w:r w:rsidRPr="00331B7A">
        <w:rPr>
          <w:rFonts w:ascii="Arial" w:hAnsi="Arial" w:cs="Arial"/>
        </w:rPr>
        <w:t xml:space="preserve"> Photo Meter-reading introduced &amp; suppressed reading cases detected</w:t>
      </w:r>
    </w:p>
    <w:p w:rsidR="00B10FD2" w:rsidRPr="00331B7A" w:rsidRDefault="00B10FD2" w:rsidP="00CF66A5">
      <w:pPr>
        <w:pStyle w:val="ListParagraph"/>
        <w:numPr>
          <w:ilvl w:val="0"/>
          <w:numId w:val="45"/>
        </w:numPr>
        <w:spacing w:line="360" w:lineRule="auto"/>
        <w:jc w:val="both"/>
        <w:rPr>
          <w:rFonts w:ascii="Arial" w:hAnsi="Arial" w:cs="Arial"/>
        </w:rPr>
      </w:pPr>
      <w:r w:rsidRPr="00331B7A">
        <w:rPr>
          <w:rFonts w:ascii="Arial" w:hAnsi="Arial" w:cs="Arial"/>
        </w:rPr>
        <w:t>Collection through Post Office.</w:t>
      </w:r>
    </w:p>
    <w:p w:rsidR="00B10FD2" w:rsidRPr="00331B7A" w:rsidRDefault="00B10FD2" w:rsidP="00CF66A5">
      <w:pPr>
        <w:pStyle w:val="ListParagraph"/>
        <w:numPr>
          <w:ilvl w:val="0"/>
          <w:numId w:val="45"/>
        </w:numPr>
        <w:spacing w:line="360" w:lineRule="auto"/>
        <w:jc w:val="both"/>
        <w:rPr>
          <w:rFonts w:ascii="Arial" w:hAnsi="Arial" w:cs="Arial"/>
        </w:rPr>
      </w:pPr>
      <w:r w:rsidRPr="00331B7A">
        <w:rPr>
          <w:rFonts w:ascii="Arial" w:hAnsi="Arial" w:cs="Arial"/>
        </w:rPr>
        <w:t xml:space="preserve">230 Collection centers are operating through  ITZ, SUBIDHA </w:t>
      </w:r>
    </w:p>
    <w:p w:rsidR="00B10FD2" w:rsidRPr="00331B7A" w:rsidRDefault="00B10FD2" w:rsidP="00CF66A5">
      <w:pPr>
        <w:pStyle w:val="ListParagraph"/>
        <w:numPr>
          <w:ilvl w:val="0"/>
          <w:numId w:val="45"/>
        </w:numPr>
        <w:spacing w:line="360" w:lineRule="auto"/>
        <w:jc w:val="both"/>
        <w:rPr>
          <w:rFonts w:ascii="Arial" w:hAnsi="Arial" w:cs="Arial"/>
        </w:rPr>
      </w:pPr>
      <w:r w:rsidRPr="00331B7A">
        <w:rPr>
          <w:rFonts w:ascii="Arial" w:hAnsi="Arial" w:cs="Arial"/>
        </w:rPr>
        <w:t>Company operated Online Collection Centers opened in 25 locations</w:t>
      </w:r>
    </w:p>
    <w:p w:rsidR="00B10FD2" w:rsidRPr="00331B7A" w:rsidRDefault="00B10FD2" w:rsidP="00CF66A5">
      <w:pPr>
        <w:pStyle w:val="ListParagraph"/>
        <w:numPr>
          <w:ilvl w:val="0"/>
          <w:numId w:val="45"/>
        </w:numPr>
        <w:spacing w:line="360" w:lineRule="auto"/>
        <w:jc w:val="both"/>
        <w:rPr>
          <w:rFonts w:ascii="Arial" w:hAnsi="Arial" w:cs="Arial"/>
        </w:rPr>
      </w:pPr>
      <w:r w:rsidRPr="00331B7A">
        <w:rPr>
          <w:rFonts w:ascii="Arial" w:hAnsi="Arial" w:cs="Arial"/>
        </w:rPr>
        <w:t>1 Lac Consumers covered through Franchisees</w:t>
      </w:r>
    </w:p>
    <w:p w:rsidR="00B10FD2" w:rsidRPr="00331B7A" w:rsidRDefault="00B10FD2" w:rsidP="00CF66A5">
      <w:pPr>
        <w:pStyle w:val="ListParagraph"/>
        <w:numPr>
          <w:ilvl w:val="0"/>
          <w:numId w:val="45"/>
        </w:numPr>
        <w:spacing w:line="360" w:lineRule="auto"/>
        <w:jc w:val="both"/>
        <w:rPr>
          <w:rFonts w:ascii="Arial" w:hAnsi="Arial" w:cs="Arial"/>
        </w:rPr>
      </w:pPr>
      <w:r w:rsidRPr="00331B7A">
        <w:rPr>
          <w:rFonts w:ascii="Arial" w:hAnsi="Arial" w:cs="Arial"/>
        </w:rPr>
        <w:t>Collection through different online agencies like ICICI Bank, Atom, Oxigen, BillDesk, Airtel Money etc.</w:t>
      </w:r>
    </w:p>
    <w:p w:rsidR="00B10FD2" w:rsidRPr="00331B7A" w:rsidRDefault="00B10FD2" w:rsidP="00CF66A5">
      <w:pPr>
        <w:pStyle w:val="ListParagraph"/>
        <w:numPr>
          <w:ilvl w:val="0"/>
          <w:numId w:val="45"/>
        </w:numPr>
        <w:spacing w:line="360" w:lineRule="auto"/>
        <w:jc w:val="both"/>
        <w:rPr>
          <w:rFonts w:ascii="Arial" w:hAnsi="Arial" w:cs="Arial"/>
        </w:rPr>
      </w:pPr>
      <w:r w:rsidRPr="00331B7A">
        <w:rPr>
          <w:rFonts w:ascii="Arial" w:hAnsi="Arial" w:cs="Arial"/>
        </w:rPr>
        <w:t>Vigilance and Disconnection Squads are operating at each Section level</w:t>
      </w:r>
    </w:p>
    <w:p w:rsidR="00B10FD2" w:rsidRPr="00331B7A" w:rsidRDefault="00B10FD2" w:rsidP="00CF66A5">
      <w:pPr>
        <w:pStyle w:val="ListParagraph"/>
        <w:numPr>
          <w:ilvl w:val="0"/>
          <w:numId w:val="45"/>
        </w:numPr>
        <w:spacing w:line="360" w:lineRule="auto"/>
        <w:jc w:val="both"/>
        <w:rPr>
          <w:rFonts w:ascii="Arial" w:hAnsi="Arial" w:cs="Arial"/>
        </w:rPr>
      </w:pPr>
      <w:r w:rsidRPr="00331B7A">
        <w:rPr>
          <w:rFonts w:ascii="Arial" w:hAnsi="Arial" w:cs="Arial"/>
        </w:rPr>
        <w:t>New Incentives &amp; Reward Schemes for Collection and Vigilance introduced</w:t>
      </w:r>
    </w:p>
    <w:p w:rsidR="00B10FD2" w:rsidRPr="00331B7A" w:rsidRDefault="00B10FD2" w:rsidP="00CF66A5">
      <w:pPr>
        <w:pStyle w:val="ListParagraph"/>
        <w:numPr>
          <w:ilvl w:val="0"/>
          <w:numId w:val="45"/>
        </w:numPr>
        <w:spacing w:line="360" w:lineRule="auto"/>
        <w:jc w:val="both"/>
        <w:rPr>
          <w:rFonts w:ascii="Arial" w:hAnsi="Arial" w:cs="Arial"/>
        </w:rPr>
      </w:pPr>
      <w:r w:rsidRPr="00331B7A">
        <w:rPr>
          <w:rFonts w:ascii="Arial" w:hAnsi="Arial" w:cs="Arial"/>
        </w:rPr>
        <w:t>Retired employees of NESCO are engaged for collection with attractive incentives.</w:t>
      </w:r>
    </w:p>
    <w:p w:rsidR="00B10FD2" w:rsidRPr="00331B7A" w:rsidRDefault="00B10FD2" w:rsidP="00B10FD2">
      <w:pPr>
        <w:pStyle w:val="ListParagraph"/>
        <w:spacing w:line="360" w:lineRule="auto"/>
        <w:jc w:val="both"/>
        <w:rPr>
          <w:rFonts w:ascii="Arial" w:hAnsi="Arial" w:cs="Arial"/>
        </w:rPr>
      </w:pPr>
    </w:p>
    <w:p w:rsidR="00B10FD2" w:rsidRPr="00331B7A" w:rsidRDefault="00B10FD2" w:rsidP="00CF66A5">
      <w:pPr>
        <w:pStyle w:val="ListParagraph"/>
        <w:numPr>
          <w:ilvl w:val="2"/>
          <w:numId w:val="49"/>
        </w:numPr>
        <w:spacing w:line="360" w:lineRule="auto"/>
        <w:jc w:val="both"/>
        <w:rPr>
          <w:rFonts w:ascii="Arial" w:hAnsi="Arial" w:cs="Arial"/>
          <w:b/>
          <w:u w:val="single"/>
        </w:rPr>
      </w:pPr>
      <w:r w:rsidRPr="00331B7A">
        <w:rPr>
          <w:rFonts w:ascii="Arial" w:hAnsi="Arial" w:cs="Arial"/>
          <w:b/>
          <w:u w:val="single"/>
        </w:rPr>
        <w:t xml:space="preserve">Energy Audit Initiative </w:t>
      </w:r>
    </w:p>
    <w:p w:rsidR="00B10FD2" w:rsidRPr="00331B7A" w:rsidRDefault="00B10FD2" w:rsidP="00CF66A5">
      <w:pPr>
        <w:numPr>
          <w:ilvl w:val="0"/>
          <w:numId w:val="46"/>
        </w:numPr>
        <w:shd w:val="clear" w:color="auto" w:fill="FFFFFF"/>
        <w:spacing w:line="480" w:lineRule="auto"/>
        <w:jc w:val="both"/>
        <w:rPr>
          <w:rFonts w:ascii="Arial" w:hAnsi="Arial" w:cs="Arial"/>
          <w:sz w:val="22"/>
          <w:szCs w:val="22"/>
        </w:rPr>
      </w:pPr>
      <w:r w:rsidRPr="00331B7A">
        <w:rPr>
          <w:rFonts w:ascii="Arial" w:hAnsi="Arial" w:cs="Arial"/>
          <w:sz w:val="22"/>
          <w:szCs w:val="22"/>
        </w:rPr>
        <w:t>NESCO has completed consumer tagging of 159no of 11kv feeders.</w:t>
      </w:r>
    </w:p>
    <w:p w:rsidR="00B10FD2" w:rsidRPr="00331B7A" w:rsidRDefault="00B10FD2" w:rsidP="00CF66A5">
      <w:pPr>
        <w:numPr>
          <w:ilvl w:val="0"/>
          <w:numId w:val="46"/>
        </w:numPr>
        <w:shd w:val="clear" w:color="auto" w:fill="FFFFFF"/>
        <w:spacing w:line="480" w:lineRule="auto"/>
        <w:jc w:val="both"/>
        <w:rPr>
          <w:rFonts w:ascii="Arial" w:hAnsi="Arial" w:cs="Arial"/>
          <w:sz w:val="22"/>
          <w:szCs w:val="22"/>
        </w:rPr>
      </w:pPr>
      <w:r w:rsidRPr="00331B7A">
        <w:rPr>
          <w:rFonts w:ascii="Arial" w:hAnsi="Arial" w:cs="Arial"/>
          <w:sz w:val="22"/>
          <w:szCs w:val="22"/>
        </w:rPr>
        <w:t>72 Nos of 11kv feeder has been metered to determine the input to each 11kv feeders. Monthly loss level is being prepared on those 11kv feeders.</w:t>
      </w:r>
    </w:p>
    <w:p w:rsidR="00B10FD2" w:rsidRPr="00331B7A" w:rsidRDefault="00B10FD2" w:rsidP="00CF66A5">
      <w:pPr>
        <w:numPr>
          <w:ilvl w:val="0"/>
          <w:numId w:val="46"/>
        </w:numPr>
        <w:shd w:val="clear" w:color="auto" w:fill="FFFFFF"/>
        <w:spacing w:line="480" w:lineRule="auto"/>
        <w:jc w:val="both"/>
        <w:rPr>
          <w:rFonts w:ascii="Arial" w:hAnsi="Arial" w:cs="Arial"/>
          <w:sz w:val="22"/>
          <w:szCs w:val="22"/>
        </w:rPr>
      </w:pPr>
      <w:r w:rsidRPr="00331B7A">
        <w:rPr>
          <w:rFonts w:ascii="Arial" w:hAnsi="Arial" w:cs="Arial"/>
          <w:sz w:val="22"/>
          <w:szCs w:val="22"/>
        </w:rPr>
        <w:t xml:space="preserve">The coding of all the 11KV feeders has been completed and is being implemented at field with effect from Oct-2014. </w:t>
      </w:r>
    </w:p>
    <w:p w:rsidR="00B10FD2" w:rsidRPr="00331B7A" w:rsidRDefault="00B10FD2" w:rsidP="00CF66A5">
      <w:pPr>
        <w:numPr>
          <w:ilvl w:val="0"/>
          <w:numId w:val="46"/>
        </w:numPr>
        <w:shd w:val="clear" w:color="auto" w:fill="FFFFFF"/>
        <w:spacing w:line="480" w:lineRule="auto"/>
        <w:jc w:val="both"/>
        <w:rPr>
          <w:rFonts w:ascii="Arial" w:hAnsi="Arial" w:cs="Arial"/>
          <w:sz w:val="22"/>
          <w:szCs w:val="22"/>
        </w:rPr>
      </w:pPr>
      <w:r w:rsidRPr="00331B7A">
        <w:rPr>
          <w:rFonts w:ascii="Arial" w:hAnsi="Arial" w:cs="Arial"/>
          <w:sz w:val="22"/>
          <w:szCs w:val="22"/>
        </w:rPr>
        <w:t>Consumer tagging of balance 11kv feeders is under progress.</w:t>
      </w:r>
    </w:p>
    <w:p w:rsidR="00B10FD2" w:rsidRPr="00331B7A" w:rsidRDefault="00B10FD2" w:rsidP="00CF66A5">
      <w:pPr>
        <w:numPr>
          <w:ilvl w:val="0"/>
          <w:numId w:val="46"/>
        </w:numPr>
        <w:shd w:val="clear" w:color="auto" w:fill="FFFFFF"/>
        <w:spacing w:line="480" w:lineRule="auto"/>
        <w:jc w:val="both"/>
        <w:rPr>
          <w:rFonts w:ascii="Arial" w:hAnsi="Arial" w:cs="Arial"/>
          <w:sz w:val="22"/>
          <w:szCs w:val="22"/>
        </w:rPr>
      </w:pPr>
      <w:r w:rsidRPr="00331B7A">
        <w:rPr>
          <w:rFonts w:ascii="Arial" w:hAnsi="Arial" w:cs="Arial"/>
          <w:sz w:val="22"/>
          <w:szCs w:val="22"/>
        </w:rPr>
        <w:t>Energy Audit of 9Nos of 33KV &amp; 72nos of 11KV Feeders have already been tagged with approximately 5700 nos of DTRs and 2.15Lakhs consumer.</w:t>
      </w:r>
    </w:p>
    <w:p w:rsidR="00B10FD2" w:rsidRPr="00331B7A" w:rsidRDefault="00B10FD2" w:rsidP="00B10FD2">
      <w:pPr>
        <w:spacing w:line="360" w:lineRule="auto"/>
        <w:ind w:left="360"/>
        <w:jc w:val="both"/>
        <w:rPr>
          <w:rFonts w:ascii="Arial" w:hAnsi="Arial" w:cs="Arial"/>
          <w:sz w:val="22"/>
          <w:szCs w:val="22"/>
        </w:rPr>
      </w:pPr>
    </w:p>
    <w:p w:rsidR="00B10FD2" w:rsidRPr="00331B7A" w:rsidRDefault="00B10FD2" w:rsidP="00B10FD2">
      <w:pPr>
        <w:spacing w:line="360" w:lineRule="auto"/>
        <w:ind w:left="360"/>
        <w:jc w:val="both"/>
        <w:rPr>
          <w:rFonts w:ascii="Arial" w:hAnsi="Arial" w:cs="Arial"/>
          <w:sz w:val="22"/>
          <w:szCs w:val="22"/>
        </w:rPr>
      </w:pPr>
    </w:p>
    <w:p w:rsidR="00B10FD2" w:rsidRPr="00331B7A" w:rsidRDefault="00B10FD2" w:rsidP="00CF66A5">
      <w:pPr>
        <w:pStyle w:val="ListParagraph"/>
        <w:numPr>
          <w:ilvl w:val="2"/>
          <w:numId w:val="49"/>
        </w:numPr>
        <w:jc w:val="both"/>
        <w:rPr>
          <w:rFonts w:ascii="Arial" w:hAnsi="Arial" w:cs="Arial"/>
          <w:b/>
          <w:u w:val="single"/>
        </w:rPr>
      </w:pPr>
      <w:r w:rsidRPr="00331B7A">
        <w:rPr>
          <w:rFonts w:ascii="Arial" w:hAnsi="Arial" w:cs="Arial"/>
          <w:b/>
          <w:u w:val="single"/>
        </w:rPr>
        <w:t>Automated Meter Reading (AMR):</w:t>
      </w:r>
    </w:p>
    <w:p w:rsidR="00B10FD2" w:rsidRPr="00331B7A" w:rsidRDefault="00B10FD2" w:rsidP="00B10FD2">
      <w:pPr>
        <w:spacing w:line="360" w:lineRule="auto"/>
        <w:ind w:left="360"/>
        <w:jc w:val="both"/>
        <w:rPr>
          <w:rFonts w:ascii="Arial" w:hAnsi="Arial" w:cs="Arial"/>
          <w:sz w:val="22"/>
          <w:szCs w:val="22"/>
        </w:rPr>
      </w:pPr>
      <w:r w:rsidRPr="00331B7A">
        <w:rPr>
          <w:rFonts w:ascii="Arial" w:hAnsi="Arial" w:cs="Arial"/>
          <w:sz w:val="22"/>
          <w:szCs w:val="22"/>
        </w:rPr>
        <w:t xml:space="preserve">NESCO has completed AMR installation for all the EHT and HT Consumers and in total 1816 nos. of AMR has been installed for consumers CD &gt; 20KW. Further the dumps of consumers are analyzed and low consumption along with tamper cases are reported to concerned MRT division for checking and penalty. Till now we have imposed penalty of </w:t>
      </w:r>
      <w:r w:rsidRPr="00360E85">
        <w:rPr>
          <w:rFonts w:ascii="Arial" w:hAnsi="Arial" w:cs="Arial"/>
          <w:sz w:val="22"/>
          <w:szCs w:val="22"/>
        </w:rPr>
        <w:t>about Rs.27 Lacs on</w:t>
      </w:r>
      <w:r w:rsidRPr="00331B7A">
        <w:rPr>
          <w:rFonts w:ascii="Arial" w:hAnsi="Arial" w:cs="Arial"/>
          <w:sz w:val="22"/>
          <w:szCs w:val="22"/>
        </w:rPr>
        <w:t xml:space="preserve"> consumers for theft of energy. We are under process of implementing GPRS based AMR.</w:t>
      </w:r>
    </w:p>
    <w:p w:rsidR="00B10FD2" w:rsidRPr="00331B7A" w:rsidRDefault="00B10FD2" w:rsidP="00CF66A5">
      <w:pPr>
        <w:pStyle w:val="ListParagraph"/>
        <w:numPr>
          <w:ilvl w:val="2"/>
          <w:numId w:val="49"/>
        </w:numPr>
        <w:spacing w:line="360" w:lineRule="auto"/>
        <w:jc w:val="both"/>
        <w:rPr>
          <w:rFonts w:ascii="Arial" w:hAnsi="Arial" w:cs="Arial"/>
          <w:b/>
          <w:u w:val="single"/>
        </w:rPr>
      </w:pPr>
      <w:r w:rsidRPr="00331B7A">
        <w:rPr>
          <w:rFonts w:ascii="Arial" w:hAnsi="Arial" w:cs="Arial"/>
          <w:b/>
          <w:u w:val="single"/>
        </w:rPr>
        <w:lastRenderedPageBreak/>
        <w:t>Installation of Pre-paid Metering:</w:t>
      </w:r>
    </w:p>
    <w:p w:rsidR="00F80724" w:rsidRPr="00331B7A" w:rsidRDefault="00B10FD2" w:rsidP="00F80724">
      <w:pPr>
        <w:spacing w:line="360" w:lineRule="auto"/>
        <w:ind w:left="360"/>
        <w:jc w:val="both"/>
        <w:rPr>
          <w:rFonts w:ascii="Arial" w:hAnsi="Arial" w:cs="Arial"/>
          <w:sz w:val="22"/>
          <w:szCs w:val="22"/>
        </w:rPr>
      </w:pPr>
      <w:r w:rsidRPr="00331B7A">
        <w:rPr>
          <w:rFonts w:ascii="Arial" w:hAnsi="Arial" w:cs="Arial"/>
          <w:sz w:val="22"/>
          <w:szCs w:val="22"/>
        </w:rPr>
        <w:t xml:space="preserve">NESCO has already started prepaid metering system through outsourcing agency JNJ Power systems Ltd. for Balasore Electrical Division, Central Electrical Division, Basta Electrical Division &amp; Jaleswar Electrical Division under Balasore Electrical Circle. M/s JNJ power system has set up its customer care centre at Balasore Town for top up, billing etc. </w:t>
      </w:r>
      <w:r w:rsidR="00577466" w:rsidRPr="00577466">
        <w:rPr>
          <w:rFonts w:ascii="Arial" w:hAnsi="Arial" w:cs="Arial"/>
          <w:sz w:val="22"/>
          <w:szCs w:val="22"/>
        </w:rPr>
        <w:t>Out of 2149</w:t>
      </w:r>
      <w:r w:rsidRPr="00577466">
        <w:rPr>
          <w:rFonts w:ascii="Arial" w:hAnsi="Arial" w:cs="Arial"/>
          <w:sz w:val="22"/>
          <w:szCs w:val="22"/>
        </w:rPr>
        <w:t xml:space="preserve"> nos of Govt. consumer under Balsore Electrical Circle, for </w:t>
      </w:r>
      <w:r w:rsidR="00577466" w:rsidRPr="00577466">
        <w:rPr>
          <w:rFonts w:ascii="Arial" w:hAnsi="Arial" w:cs="Arial"/>
          <w:sz w:val="22"/>
          <w:szCs w:val="22"/>
        </w:rPr>
        <w:t>423</w:t>
      </w:r>
      <w:r w:rsidRPr="00577466">
        <w:rPr>
          <w:rFonts w:ascii="Arial" w:hAnsi="Arial" w:cs="Arial"/>
          <w:sz w:val="22"/>
          <w:szCs w:val="22"/>
        </w:rPr>
        <w:t xml:space="preserve"> nos of consumers prepaid meters has been installed</w:t>
      </w:r>
    </w:p>
    <w:p w:rsidR="00F80724" w:rsidRPr="00331B7A" w:rsidRDefault="00F80724" w:rsidP="00F80724">
      <w:pPr>
        <w:spacing w:line="360" w:lineRule="auto"/>
        <w:ind w:left="360"/>
        <w:jc w:val="both"/>
        <w:rPr>
          <w:rFonts w:ascii="Arial" w:hAnsi="Arial" w:cs="Arial"/>
          <w:sz w:val="22"/>
          <w:szCs w:val="22"/>
        </w:rPr>
      </w:pPr>
    </w:p>
    <w:p w:rsidR="00B10FD2" w:rsidRPr="00331B7A" w:rsidRDefault="00B10FD2" w:rsidP="00CF66A5">
      <w:pPr>
        <w:pStyle w:val="ListParagraph"/>
        <w:numPr>
          <w:ilvl w:val="2"/>
          <w:numId w:val="49"/>
        </w:numPr>
        <w:spacing w:line="360" w:lineRule="auto"/>
        <w:jc w:val="both"/>
        <w:rPr>
          <w:rFonts w:ascii="Arial" w:hAnsi="Arial" w:cs="Arial"/>
          <w:b/>
          <w:u w:val="single"/>
        </w:rPr>
      </w:pPr>
      <w:r w:rsidRPr="00331B7A">
        <w:rPr>
          <w:rFonts w:ascii="Arial" w:hAnsi="Arial" w:cs="Arial"/>
          <w:b/>
          <w:u w:val="single"/>
        </w:rPr>
        <w:t>Smart Metering:</w:t>
      </w:r>
    </w:p>
    <w:p w:rsidR="00B10FD2" w:rsidRPr="00331B7A" w:rsidRDefault="00B10FD2" w:rsidP="00B10FD2">
      <w:pPr>
        <w:spacing w:line="360" w:lineRule="auto"/>
        <w:ind w:left="360"/>
        <w:jc w:val="both"/>
        <w:rPr>
          <w:rFonts w:ascii="Arial" w:hAnsi="Arial" w:cs="Arial"/>
          <w:sz w:val="22"/>
          <w:szCs w:val="22"/>
        </w:rPr>
      </w:pPr>
      <w:r w:rsidRPr="00331B7A">
        <w:rPr>
          <w:rFonts w:ascii="Arial" w:hAnsi="Arial" w:cs="Arial"/>
          <w:sz w:val="22"/>
          <w:szCs w:val="22"/>
        </w:rPr>
        <w:t>As per order of OERC, the pilot project of Smart Metering has been initiated for implementation of the same under 33/11KV Sovarampur S/s under Balasore Electrical Division covering around 7600 consumers under 2 nos of 11KV feeders. Expression of Interest has been called for implementation of the same</w:t>
      </w:r>
    </w:p>
    <w:p w:rsidR="000B3FE0" w:rsidRPr="00C8160B" w:rsidRDefault="000B3FE0" w:rsidP="00CF66A5">
      <w:pPr>
        <w:pStyle w:val="Heading1"/>
        <w:numPr>
          <w:ilvl w:val="1"/>
          <w:numId w:val="49"/>
        </w:numPr>
        <w:spacing w:line="360" w:lineRule="auto"/>
        <w:jc w:val="both"/>
        <w:rPr>
          <w:bCs w:val="0"/>
          <w:sz w:val="22"/>
          <w:szCs w:val="22"/>
        </w:rPr>
      </w:pPr>
      <w:bookmarkStart w:id="78" w:name="_Toc404940189"/>
      <w:r w:rsidRPr="00C8160B">
        <w:rPr>
          <w:bCs w:val="0"/>
          <w:sz w:val="22"/>
          <w:szCs w:val="22"/>
        </w:rPr>
        <w:t>Development of Franchisee in Licensee Area</w:t>
      </w:r>
      <w:bookmarkEnd w:id="78"/>
    </w:p>
    <w:p w:rsidR="009D36CE" w:rsidRPr="00C8160B" w:rsidRDefault="009D36CE" w:rsidP="00AE0653">
      <w:pPr>
        <w:spacing w:line="360" w:lineRule="auto"/>
        <w:rPr>
          <w:rFonts w:ascii="Arial" w:hAnsi="Arial" w:cs="Arial"/>
          <w:b/>
          <w:sz w:val="22"/>
          <w:szCs w:val="22"/>
        </w:rPr>
      </w:pPr>
      <w:bookmarkStart w:id="79" w:name="_Toc341976772"/>
      <w:r w:rsidRPr="00C8160B">
        <w:rPr>
          <w:rFonts w:ascii="Arial" w:hAnsi="Arial" w:cs="Arial"/>
          <w:b/>
          <w:sz w:val="22"/>
          <w:szCs w:val="22"/>
        </w:rPr>
        <w:t>Development of Franchisee in Licensee Area</w:t>
      </w:r>
      <w:bookmarkEnd w:id="79"/>
    </w:p>
    <w:p w:rsidR="009D36CE" w:rsidRPr="00C8160B" w:rsidRDefault="009D36CE" w:rsidP="00AE0653">
      <w:pPr>
        <w:spacing w:line="360" w:lineRule="auto"/>
        <w:rPr>
          <w:rFonts w:ascii="Arial" w:hAnsi="Arial" w:cs="Arial"/>
          <w:sz w:val="22"/>
          <w:szCs w:val="22"/>
        </w:rPr>
      </w:pPr>
      <w:r w:rsidRPr="00C8160B">
        <w:rPr>
          <w:rFonts w:ascii="Arial" w:hAnsi="Arial" w:cs="Arial"/>
          <w:sz w:val="22"/>
          <w:szCs w:val="22"/>
        </w:rPr>
        <w:t>Efforts have been made by the Licensee for introduction of Franchisees in its License area as required under the RGGVY Scheme and as per direction of Hon’ble Commission in their tariff orders. The following models both in operation and proposed as given below:</w:t>
      </w:r>
    </w:p>
    <w:p w:rsidR="009D36CE" w:rsidRPr="00C8160B" w:rsidRDefault="009D36CE" w:rsidP="00AE0653">
      <w:pPr>
        <w:spacing w:line="360" w:lineRule="auto"/>
        <w:rPr>
          <w:rFonts w:ascii="Arial" w:hAnsi="Arial" w:cs="Arial"/>
          <w:sz w:val="22"/>
          <w:szCs w:val="22"/>
        </w:rPr>
      </w:pPr>
      <w:r w:rsidRPr="00C8160B">
        <w:rPr>
          <w:rFonts w:ascii="Arial" w:hAnsi="Arial" w:cs="Arial"/>
          <w:sz w:val="22"/>
          <w:szCs w:val="22"/>
        </w:rPr>
        <w:t>Franchisee Models;</w:t>
      </w:r>
    </w:p>
    <w:p w:rsidR="009D36CE" w:rsidRPr="00C8160B" w:rsidRDefault="009D36CE" w:rsidP="00AE0653">
      <w:pPr>
        <w:spacing w:line="360" w:lineRule="auto"/>
        <w:rPr>
          <w:rFonts w:ascii="Arial" w:hAnsi="Arial" w:cs="Arial"/>
          <w:b/>
          <w:sz w:val="22"/>
          <w:szCs w:val="22"/>
        </w:rPr>
      </w:pPr>
      <w:r w:rsidRPr="00C8160B">
        <w:rPr>
          <w:rFonts w:ascii="Arial" w:hAnsi="Arial" w:cs="Arial"/>
          <w:b/>
          <w:sz w:val="22"/>
          <w:szCs w:val="22"/>
        </w:rPr>
        <w:t xml:space="preserve">In Operation </w:t>
      </w:r>
    </w:p>
    <w:p w:rsidR="009D36CE" w:rsidRPr="00C8160B" w:rsidRDefault="009D36CE" w:rsidP="00AE0653">
      <w:pPr>
        <w:spacing w:line="360" w:lineRule="auto"/>
        <w:rPr>
          <w:rFonts w:ascii="Arial" w:hAnsi="Arial" w:cs="Arial"/>
          <w:sz w:val="22"/>
          <w:szCs w:val="22"/>
        </w:rPr>
      </w:pPr>
      <w:r w:rsidRPr="00C8160B">
        <w:rPr>
          <w:rFonts w:ascii="Arial" w:hAnsi="Arial" w:cs="Arial"/>
          <w:sz w:val="22"/>
          <w:szCs w:val="22"/>
        </w:rPr>
        <w:t>Revenue / Collection base: Franchisee compensated on the services provided which has no relation with the cost of energy input and Losses.</w:t>
      </w:r>
    </w:p>
    <w:p w:rsidR="009D36CE" w:rsidRPr="00C8160B" w:rsidRDefault="009D36CE" w:rsidP="00AE0653">
      <w:pPr>
        <w:spacing w:line="360" w:lineRule="auto"/>
        <w:rPr>
          <w:rFonts w:ascii="Arial" w:hAnsi="Arial" w:cs="Arial"/>
          <w:sz w:val="22"/>
          <w:szCs w:val="22"/>
        </w:rPr>
      </w:pPr>
      <w:r w:rsidRPr="00C8160B">
        <w:rPr>
          <w:rFonts w:ascii="Arial" w:hAnsi="Arial" w:cs="Arial"/>
          <w:sz w:val="22"/>
          <w:szCs w:val="22"/>
        </w:rPr>
        <w:t>Input linked: Franchisee is compensated on improvement in the efficiencies which in turn linked to input.</w:t>
      </w:r>
    </w:p>
    <w:p w:rsidR="009D36CE" w:rsidRPr="00C8160B" w:rsidRDefault="009D36CE" w:rsidP="00AE0653">
      <w:pPr>
        <w:spacing w:line="360" w:lineRule="auto"/>
        <w:rPr>
          <w:rFonts w:ascii="Arial" w:hAnsi="Arial" w:cs="Arial"/>
          <w:b/>
          <w:sz w:val="22"/>
          <w:szCs w:val="22"/>
        </w:rPr>
      </w:pPr>
      <w:r w:rsidRPr="00C8160B">
        <w:rPr>
          <w:rFonts w:ascii="Arial" w:hAnsi="Arial" w:cs="Arial"/>
          <w:b/>
          <w:sz w:val="22"/>
          <w:szCs w:val="22"/>
        </w:rPr>
        <w:t xml:space="preserve">Input Based: </w:t>
      </w:r>
    </w:p>
    <w:p w:rsidR="009D36CE" w:rsidRPr="00C8160B" w:rsidRDefault="009D36CE" w:rsidP="00AE0653">
      <w:pPr>
        <w:spacing w:line="360" w:lineRule="auto"/>
        <w:rPr>
          <w:rFonts w:ascii="Arial" w:hAnsi="Arial" w:cs="Arial"/>
          <w:sz w:val="22"/>
          <w:szCs w:val="22"/>
        </w:rPr>
      </w:pPr>
      <w:r w:rsidRPr="00C8160B">
        <w:rPr>
          <w:rFonts w:ascii="Arial" w:hAnsi="Arial" w:cs="Arial"/>
          <w:sz w:val="22"/>
          <w:szCs w:val="22"/>
        </w:rPr>
        <w:t xml:space="preserve">Revenue assured with Tariff Correction base: Franchisee pays on agreed per unit rate for energy input to the area which is subject to revision on the basis of revision in ratio of agriculture and  domestic category consumption to industrial consumption.  </w:t>
      </w:r>
    </w:p>
    <w:p w:rsidR="009D36CE" w:rsidRPr="00C8160B" w:rsidRDefault="009D36CE" w:rsidP="00AE0653">
      <w:pPr>
        <w:spacing w:line="360" w:lineRule="auto"/>
        <w:rPr>
          <w:rFonts w:ascii="Arial" w:hAnsi="Arial" w:cs="Arial"/>
          <w:sz w:val="22"/>
          <w:szCs w:val="22"/>
        </w:rPr>
      </w:pPr>
      <w:r w:rsidRPr="00C8160B">
        <w:rPr>
          <w:rFonts w:ascii="Arial" w:hAnsi="Arial" w:cs="Arial"/>
          <w:sz w:val="22"/>
          <w:szCs w:val="22"/>
        </w:rPr>
        <w:t xml:space="preserve">Revenue / Tariff sharing base: Franchisee pays on quoted rates above the floor rate for each year of operation which is further  dependent upon change in the Average Billing Rate.  </w:t>
      </w:r>
    </w:p>
    <w:p w:rsidR="009D36CE" w:rsidRPr="00C8160B" w:rsidRDefault="009D36CE" w:rsidP="00AE0653">
      <w:pPr>
        <w:spacing w:line="360" w:lineRule="auto"/>
        <w:rPr>
          <w:rFonts w:ascii="Arial" w:hAnsi="Arial" w:cs="Arial"/>
          <w:b/>
          <w:sz w:val="22"/>
          <w:szCs w:val="22"/>
        </w:rPr>
      </w:pPr>
      <w:r w:rsidRPr="00C8160B">
        <w:rPr>
          <w:rFonts w:ascii="Arial" w:hAnsi="Arial" w:cs="Arial"/>
          <w:b/>
          <w:sz w:val="22"/>
          <w:szCs w:val="22"/>
        </w:rPr>
        <w:t>In Planning (2014-15)</w:t>
      </w:r>
    </w:p>
    <w:p w:rsidR="009D36CE" w:rsidRPr="00C8160B" w:rsidRDefault="009D36CE" w:rsidP="00AE0653">
      <w:pPr>
        <w:spacing w:line="360" w:lineRule="auto"/>
        <w:rPr>
          <w:rFonts w:ascii="Arial" w:hAnsi="Arial" w:cs="Arial"/>
          <w:sz w:val="22"/>
          <w:szCs w:val="22"/>
        </w:rPr>
      </w:pPr>
      <w:r w:rsidRPr="00C8160B">
        <w:rPr>
          <w:rFonts w:ascii="Arial" w:hAnsi="Arial" w:cs="Arial"/>
          <w:b/>
          <w:sz w:val="22"/>
          <w:szCs w:val="22"/>
        </w:rPr>
        <w:t>BOOT Franchisee :</w:t>
      </w:r>
      <w:r w:rsidRPr="00C8160B">
        <w:rPr>
          <w:rFonts w:ascii="Arial" w:hAnsi="Arial" w:cs="Arial"/>
          <w:sz w:val="22"/>
          <w:szCs w:val="22"/>
        </w:rPr>
        <w:t xml:space="preserve"> The revenue sharing - BOOT Model so conceived by the OERC  envisage 5 years term as  Franchisee Operator and will assure revenue 60: 40  in 1st year, 50: 50 in the subsequent years of improved revenue. The Franchisee Operator shall also be under obligation of installation of Smart meters, replacement of A.B.Cables and adhering to the </w:t>
      </w:r>
      <w:r w:rsidRPr="00C8160B">
        <w:rPr>
          <w:rFonts w:ascii="Arial" w:hAnsi="Arial" w:cs="Arial"/>
          <w:sz w:val="22"/>
          <w:szCs w:val="22"/>
        </w:rPr>
        <w:lastRenderedPageBreak/>
        <w:t xml:space="preserve">agreed loss reduction trajectory  etc.  </w:t>
      </w:r>
      <w:bookmarkStart w:id="80" w:name="OLE_LINK1"/>
      <w:bookmarkStart w:id="81" w:name="OLE_LINK2"/>
      <w:r w:rsidRPr="00C8160B">
        <w:rPr>
          <w:rFonts w:ascii="Arial" w:hAnsi="Arial" w:cs="Arial"/>
          <w:sz w:val="22"/>
          <w:szCs w:val="22"/>
        </w:rPr>
        <w:t>The daily revenue continues to be deposited in the DISCOM’s Account by the Franchisee Operator</w:t>
      </w:r>
      <w:bookmarkEnd w:id="80"/>
      <w:bookmarkEnd w:id="81"/>
      <w:r w:rsidRPr="00C8160B">
        <w:rPr>
          <w:rFonts w:ascii="Arial" w:hAnsi="Arial" w:cs="Arial"/>
          <w:sz w:val="22"/>
          <w:szCs w:val="22"/>
        </w:rPr>
        <w:t xml:space="preserve">.  </w:t>
      </w:r>
    </w:p>
    <w:p w:rsidR="00DD6BBF" w:rsidRPr="00C8160B" w:rsidRDefault="00DD6BBF" w:rsidP="00AE0653">
      <w:pPr>
        <w:spacing w:line="360" w:lineRule="auto"/>
        <w:rPr>
          <w:rFonts w:ascii="Arial" w:hAnsi="Arial" w:cs="Arial"/>
          <w:sz w:val="22"/>
          <w:szCs w:val="22"/>
        </w:rPr>
      </w:pPr>
    </w:p>
    <w:p w:rsidR="009D36CE" w:rsidRPr="00C8160B" w:rsidRDefault="009D36CE" w:rsidP="00AE0653">
      <w:pPr>
        <w:rPr>
          <w:rFonts w:ascii="Arial" w:hAnsi="Arial" w:cs="Arial"/>
          <w:b/>
          <w:sz w:val="22"/>
          <w:szCs w:val="22"/>
        </w:rPr>
      </w:pPr>
      <w:r w:rsidRPr="00C8160B">
        <w:rPr>
          <w:rFonts w:ascii="Arial" w:hAnsi="Arial" w:cs="Arial"/>
          <w:b/>
          <w:sz w:val="22"/>
          <w:szCs w:val="22"/>
        </w:rPr>
        <w:t>Distribution Partnership Model in NESCO in Planning (2015-1</w:t>
      </w:r>
      <w:r w:rsidR="00AE0653" w:rsidRPr="00C8160B">
        <w:rPr>
          <w:rFonts w:ascii="Arial" w:hAnsi="Arial" w:cs="Arial"/>
          <w:b/>
          <w:sz w:val="22"/>
          <w:szCs w:val="22"/>
        </w:rPr>
        <w:t>6</w:t>
      </w:r>
      <w:r w:rsidRPr="00C8160B">
        <w:rPr>
          <w:rFonts w:ascii="Arial" w:hAnsi="Arial" w:cs="Arial"/>
          <w:b/>
          <w:sz w:val="22"/>
          <w:szCs w:val="22"/>
        </w:rPr>
        <w:t>)</w:t>
      </w:r>
    </w:p>
    <w:p w:rsidR="00DD6BBF" w:rsidRPr="00C8160B" w:rsidRDefault="00DD6BBF" w:rsidP="00AE0653">
      <w:pPr>
        <w:spacing w:line="360" w:lineRule="auto"/>
        <w:jc w:val="both"/>
        <w:rPr>
          <w:rFonts w:ascii="Arial" w:hAnsi="Arial" w:cs="Arial"/>
          <w:sz w:val="22"/>
          <w:szCs w:val="22"/>
        </w:rPr>
      </w:pPr>
    </w:p>
    <w:p w:rsidR="00DD6BBF" w:rsidRPr="00C8160B" w:rsidRDefault="00DD6BBF" w:rsidP="00DD6BBF">
      <w:pPr>
        <w:spacing w:line="360" w:lineRule="auto"/>
        <w:jc w:val="both"/>
        <w:rPr>
          <w:rFonts w:ascii="Arial" w:hAnsi="Arial" w:cs="Arial"/>
          <w:sz w:val="22"/>
          <w:szCs w:val="22"/>
        </w:rPr>
      </w:pPr>
      <w:r w:rsidRPr="00C8160B">
        <w:rPr>
          <w:rFonts w:ascii="Arial" w:hAnsi="Arial" w:cs="Arial"/>
          <w:sz w:val="22"/>
          <w:szCs w:val="22"/>
        </w:rPr>
        <w:t>NESCO on its part has gone ahead with a different Franchisee model which is detailed below:</w:t>
      </w:r>
    </w:p>
    <w:p w:rsidR="00DD6BBF" w:rsidRPr="00C8160B" w:rsidRDefault="00DD6BBF" w:rsidP="00DD6BBF">
      <w:pPr>
        <w:spacing w:line="360" w:lineRule="auto"/>
        <w:jc w:val="both"/>
        <w:rPr>
          <w:rFonts w:ascii="Arial" w:hAnsi="Arial" w:cs="Arial"/>
          <w:sz w:val="22"/>
          <w:szCs w:val="22"/>
        </w:rPr>
      </w:pPr>
    </w:p>
    <w:p w:rsidR="00DD6BBF" w:rsidRPr="00C8160B" w:rsidRDefault="00DD6BBF" w:rsidP="00DD6BBF">
      <w:pPr>
        <w:spacing w:line="360" w:lineRule="auto"/>
        <w:jc w:val="both"/>
        <w:rPr>
          <w:rFonts w:ascii="Arial" w:hAnsi="Arial" w:cs="Arial"/>
          <w:sz w:val="22"/>
          <w:szCs w:val="22"/>
        </w:rPr>
      </w:pPr>
      <w:r w:rsidRPr="00C8160B">
        <w:rPr>
          <w:rFonts w:ascii="Arial" w:hAnsi="Arial" w:cs="Arial"/>
          <w:sz w:val="22"/>
          <w:szCs w:val="22"/>
        </w:rPr>
        <w:t xml:space="preserve">Pilferage of electricity, particularly in LT sector is causing serious financial crisis to NESCO with arithmetically progressing consumer numbers and easy accessibility of power through overhead bare conductors across a vast area of Licensees network, it has become an easy way of pilfering energy by hooking, bypassing the meter, etc. thereby resulting in huge T&amp;D losses. </w:t>
      </w:r>
    </w:p>
    <w:p w:rsidR="00DD6BBF" w:rsidRPr="00C8160B" w:rsidRDefault="00DD6BBF" w:rsidP="00DD6BBF">
      <w:pPr>
        <w:spacing w:line="360" w:lineRule="auto"/>
        <w:jc w:val="both"/>
        <w:rPr>
          <w:rFonts w:ascii="Arial" w:hAnsi="Arial" w:cs="Arial"/>
          <w:sz w:val="22"/>
          <w:szCs w:val="22"/>
        </w:rPr>
      </w:pPr>
    </w:p>
    <w:p w:rsidR="00DD6BBF" w:rsidRPr="00C8160B" w:rsidRDefault="00DD6BBF" w:rsidP="00DD6BBF">
      <w:pPr>
        <w:spacing w:line="360" w:lineRule="auto"/>
        <w:jc w:val="both"/>
        <w:rPr>
          <w:rFonts w:ascii="Arial" w:hAnsi="Arial" w:cs="Arial"/>
          <w:sz w:val="22"/>
          <w:szCs w:val="22"/>
        </w:rPr>
      </w:pPr>
      <w:r w:rsidRPr="00C8160B">
        <w:rPr>
          <w:rFonts w:ascii="Arial" w:hAnsi="Arial" w:cs="Arial"/>
          <w:sz w:val="22"/>
          <w:szCs w:val="22"/>
        </w:rPr>
        <w:t xml:space="preserve">In this regard, NESCO has undertaken a comprehensive intervention program to take up all kinds of measures in reducing T&amp;D as well AT&amp;C Losses, particularly in the LT sector in participation with dynamic and result-oriented firms / agencies, having sound financial / technical and manpower capabilities with experience in implementing power and infrastructure projects with monitoring mechanism to reduce losses substantially in a given time frame. The firms get paid for their services rendered both in fixed and variable terms linked to reduction in losses. </w:t>
      </w:r>
    </w:p>
    <w:p w:rsidR="00DD6BBF" w:rsidRPr="00C8160B" w:rsidRDefault="00DD6BBF" w:rsidP="00DD6BBF">
      <w:pPr>
        <w:spacing w:line="360" w:lineRule="auto"/>
        <w:jc w:val="both"/>
        <w:rPr>
          <w:rFonts w:ascii="Arial" w:hAnsi="Arial" w:cs="Arial"/>
          <w:sz w:val="22"/>
          <w:szCs w:val="22"/>
        </w:rPr>
      </w:pPr>
    </w:p>
    <w:p w:rsidR="00DD6BBF" w:rsidRPr="00C8160B" w:rsidRDefault="00DD6BBF" w:rsidP="00DD6BBF">
      <w:pPr>
        <w:spacing w:line="360" w:lineRule="auto"/>
        <w:jc w:val="both"/>
        <w:rPr>
          <w:rFonts w:ascii="Arial" w:hAnsi="Arial" w:cs="Arial"/>
          <w:sz w:val="22"/>
          <w:szCs w:val="22"/>
        </w:rPr>
      </w:pPr>
      <w:r w:rsidRPr="00C8160B">
        <w:rPr>
          <w:rFonts w:ascii="Arial" w:hAnsi="Arial" w:cs="Arial"/>
          <w:sz w:val="22"/>
          <w:szCs w:val="22"/>
        </w:rPr>
        <w:t>In this regard NESCO has notified for EOI (Expression of Interest) for all the 16 Divisions in 2014-15 to carry out the commercial activities to achieve the targeted reduction in Distribution as well as AT&amp;C loss in the division. The firms/agencies have since submitted the techno-commercial proposal which is under evaluation and the divisions will be awarded upon finalization. The revenue is collected by the Licensee and deposited in the escrow account.</w:t>
      </w:r>
    </w:p>
    <w:p w:rsidR="00DD6BBF" w:rsidRPr="00C8160B" w:rsidRDefault="00DD6BBF" w:rsidP="00DD6BBF">
      <w:pPr>
        <w:rPr>
          <w:rFonts w:ascii="Arial" w:hAnsi="Arial" w:cs="Arial"/>
          <w:b/>
          <w:sz w:val="22"/>
          <w:szCs w:val="22"/>
        </w:rPr>
      </w:pPr>
      <w:r w:rsidRPr="00C8160B">
        <w:rPr>
          <w:rFonts w:ascii="Arial" w:hAnsi="Arial" w:cs="Arial"/>
          <w:b/>
          <w:sz w:val="22"/>
          <w:szCs w:val="22"/>
        </w:rPr>
        <w:t xml:space="preserve">Franchisee Deployment as on date: </w:t>
      </w:r>
    </w:p>
    <w:p w:rsidR="00EE3A7F" w:rsidRPr="00C8160B" w:rsidRDefault="00EE3A7F" w:rsidP="00DD6BBF">
      <w:pPr>
        <w:rPr>
          <w:rFonts w:ascii="Arial" w:hAnsi="Arial" w:cs="Arial"/>
          <w:bCs/>
          <w:i/>
          <w:sz w:val="22"/>
          <w:szCs w:val="22"/>
        </w:rPr>
      </w:pPr>
    </w:p>
    <w:p w:rsidR="00DD6BBF" w:rsidRPr="00C8160B" w:rsidRDefault="00DD6BBF" w:rsidP="00DD6BBF">
      <w:pPr>
        <w:rPr>
          <w:rFonts w:ascii="Arial" w:hAnsi="Arial" w:cs="Arial"/>
          <w:bCs/>
          <w:i/>
          <w:sz w:val="22"/>
          <w:szCs w:val="22"/>
        </w:rPr>
      </w:pPr>
      <w:r w:rsidRPr="00C8160B">
        <w:rPr>
          <w:rFonts w:ascii="Arial" w:hAnsi="Arial" w:cs="Arial"/>
          <w:bCs/>
          <w:i/>
          <w:sz w:val="22"/>
          <w:szCs w:val="22"/>
        </w:rPr>
        <w:t>NESCOhave franchisees, operating in their respective areas of License. The following table gives the data on the deployment.</w:t>
      </w:r>
    </w:p>
    <w:p w:rsidR="00AB104A" w:rsidRPr="00C8160B" w:rsidRDefault="00AB104A" w:rsidP="00DD6BBF">
      <w:pPr>
        <w:rPr>
          <w:rFonts w:ascii="Arial" w:hAnsi="Arial" w:cs="Arial"/>
          <w:bCs/>
          <w:i/>
          <w:sz w:val="22"/>
          <w:szCs w:val="22"/>
        </w:rPr>
      </w:pPr>
    </w:p>
    <w:p w:rsidR="00AB104A" w:rsidRPr="00C8160B" w:rsidRDefault="00AB104A" w:rsidP="00DD6BBF">
      <w:pPr>
        <w:rPr>
          <w:rFonts w:ascii="Arial" w:hAnsi="Arial" w:cs="Arial"/>
          <w:bCs/>
          <w:i/>
          <w:sz w:val="22"/>
          <w:szCs w:val="22"/>
        </w:rPr>
      </w:pPr>
    </w:p>
    <w:tbl>
      <w:tblPr>
        <w:tblpPr w:leftFromText="180" w:rightFromText="180" w:vertAnchor="text" w:horzAnchor="margin" w:tblpY="347"/>
        <w:tblW w:w="9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4"/>
        <w:gridCol w:w="1415"/>
        <w:gridCol w:w="840"/>
        <w:gridCol w:w="1388"/>
        <w:gridCol w:w="1390"/>
        <w:gridCol w:w="1572"/>
        <w:gridCol w:w="1341"/>
      </w:tblGrid>
      <w:tr w:rsidR="00AB104A" w:rsidRPr="00C8160B" w:rsidTr="00AB104A">
        <w:trPr>
          <w:trHeight w:val="364"/>
        </w:trPr>
        <w:tc>
          <w:tcPr>
            <w:tcW w:w="1350" w:type="dxa"/>
            <w:vMerge w:val="restart"/>
            <w:vAlign w:val="center"/>
          </w:tcPr>
          <w:p w:rsidR="00AB104A" w:rsidRPr="00C8160B" w:rsidRDefault="00AB104A" w:rsidP="00E52EAD">
            <w:pPr>
              <w:rPr>
                <w:rFonts w:ascii="Arial" w:hAnsi="Arial" w:cs="Arial"/>
                <w:sz w:val="22"/>
                <w:szCs w:val="22"/>
              </w:rPr>
            </w:pPr>
            <w:r w:rsidRPr="00C8160B">
              <w:rPr>
                <w:rFonts w:ascii="Arial" w:hAnsi="Arial" w:cs="Arial"/>
                <w:kern w:val="32"/>
                <w:sz w:val="22"/>
                <w:szCs w:val="22"/>
              </w:rPr>
              <w:t>Name of DISCOM</w:t>
            </w:r>
          </w:p>
        </w:tc>
        <w:tc>
          <w:tcPr>
            <w:tcW w:w="1349" w:type="dxa"/>
            <w:vMerge w:val="restart"/>
            <w:vAlign w:val="center"/>
          </w:tcPr>
          <w:p w:rsidR="00AB104A" w:rsidRPr="00C8160B" w:rsidRDefault="00AB104A" w:rsidP="00E52EAD">
            <w:pPr>
              <w:rPr>
                <w:rFonts w:ascii="Arial" w:hAnsi="Arial" w:cs="Arial"/>
                <w:sz w:val="22"/>
                <w:szCs w:val="22"/>
              </w:rPr>
            </w:pPr>
            <w:r w:rsidRPr="00C8160B">
              <w:rPr>
                <w:rFonts w:ascii="Arial" w:hAnsi="Arial" w:cs="Arial"/>
                <w:kern w:val="32"/>
                <w:sz w:val="22"/>
                <w:szCs w:val="22"/>
              </w:rPr>
              <w:t>No. of Franchisees</w:t>
            </w:r>
          </w:p>
        </w:tc>
        <w:tc>
          <w:tcPr>
            <w:tcW w:w="5285" w:type="dxa"/>
            <w:gridSpan w:val="4"/>
            <w:vAlign w:val="center"/>
          </w:tcPr>
          <w:p w:rsidR="00AB104A" w:rsidRPr="00C8160B" w:rsidRDefault="00AB104A" w:rsidP="00E52EAD">
            <w:pPr>
              <w:rPr>
                <w:rFonts w:ascii="Arial" w:hAnsi="Arial" w:cs="Arial"/>
                <w:sz w:val="22"/>
                <w:szCs w:val="22"/>
              </w:rPr>
            </w:pPr>
            <w:r w:rsidRPr="00C8160B">
              <w:rPr>
                <w:rFonts w:ascii="Arial" w:hAnsi="Arial" w:cs="Arial"/>
                <w:kern w:val="32"/>
                <w:sz w:val="22"/>
                <w:szCs w:val="22"/>
              </w:rPr>
              <w:t>Type of Franchisees</w:t>
            </w:r>
          </w:p>
        </w:tc>
        <w:tc>
          <w:tcPr>
            <w:tcW w:w="1296" w:type="dxa"/>
            <w:vMerge w:val="restart"/>
            <w:vAlign w:val="center"/>
          </w:tcPr>
          <w:p w:rsidR="00AB104A" w:rsidRPr="00C8160B" w:rsidRDefault="00AB104A" w:rsidP="00E52EAD">
            <w:pPr>
              <w:rPr>
                <w:rFonts w:ascii="Arial" w:hAnsi="Arial" w:cs="Arial"/>
                <w:sz w:val="22"/>
                <w:szCs w:val="22"/>
              </w:rPr>
            </w:pPr>
            <w:r w:rsidRPr="00C8160B">
              <w:rPr>
                <w:rFonts w:ascii="Arial" w:hAnsi="Arial" w:cs="Arial"/>
                <w:kern w:val="32"/>
                <w:sz w:val="22"/>
                <w:szCs w:val="22"/>
              </w:rPr>
              <w:t>Consumers Covered</w:t>
            </w:r>
          </w:p>
        </w:tc>
      </w:tr>
      <w:tr w:rsidR="00AB104A" w:rsidRPr="00C8160B" w:rsidTr="00AB104A">
        <w:trPr>
          <w:trHeight w:val="206"/>
        </w:trPr>
        <w:tc>
          <w:tcPr>
            <w:tcW w:w="1350" w:type="dxa"/>
            <w:vMerge/>
            <w:vAlign w:val="center"/>
          </w:tcPr>
          <w:p w:rsidR="00AB104A" w:rsidRPr="00C8160B" w:rsidRDefault="00AB104A" w:rsidP="00E52EAD">
            <w:pPr>
              <w:rPr>
                <w:rFonts w:ascii="Arial" w:hAnsi="Arial" w:cs="Arial"/>
                <w:sz w:val="22"/>
                <w:szCs w:val="22"/>
              </w:rPr>
            </w:pPr>
          </w:p>
        </w:tc>
        <w:tc>
          <w:tcPr>
            <w:tcW w:w="1349" w:type="dxa"/>
            <w:vMerge/>
            <w:vAlign w:val="center"/>
          </w:tcPr>
          <w:p w:rsidR="00AB104A" w:rsidRPr="00C8160B" w:rsidRDefault="00AB104A" w:rsidP="00E52EAD">
            <w:pPr>
              <w:rPr>
                <w:rFonts w:ascii="Arial" w:hAnsi="Arial" w:cs="Arial"/>
                <w:sz w:val="22"/>
                <w:szCs w:val="22"/>
              </w:rPr>
            </w:pPr>
          </w:p>
        </w:tc>
        <w:tc>
          <w:tcPr>
            <w:tcW w:w="803" w:type="dxa"/>
            <w:vMerge w:val="restart"/>
            <w:vAlign w:val="center"/>
          </w:tcPr>
          <w:p w:rsidR="00AB104A" w:rsidRPr="00C8160B" w:rsidRDefault="00AB104A" w:rsidP="00E52EAD">
            <w:pPr>
              <w:rPr>
                <w:rFonts w:ascii="Arial" w:hAnsi="Arial" w:cs="Arial"/>
                <w:kern w:val="32"/>
                <w:sz w:val="22"/>
                <w:szCs w:val="22"/>
              </w:rPr>
            </w:pPr>
            <w:r w:rsidRPr="00C8160B">
              <w:rPr>
                <w:rFonts w:ascii="Arial" w:hAnsi="Arial" w:cs="Arial"/>
                <w:kern w:val="32"/>
                <w:sz w:val="22"/>
                <w:szCs w:val="22"/>
              </w:rPr>
              <w:t>Input Based</w:t>
            </w:r>
          </w:p>
        </w:tc>
        <w:tc>
          <w:tcPr>
            <w:tcW w:w="4482" w:type="dxa"/>
            <w:gridSpan w:val="3"/>
            <w:vAlign w:val="center"/>
          </w:tcPr>
          <w:p w:rsidR="00AB104A" w:rsidRPr="00C8160B" w:rsidRDefault="00AB104A" w:rsidP="00E52EAD">
            <w:pPr>
              <w:rPr>
                <w:rFonts w:ascii="Arial" w:hAnsi="Arial" w:cs="Arial"/>
                <w:kern w:val="32"/>
                <w:sz w:val="22"/>
                <w:szCs w:val="22"/>
              </w:rPr>
            </w:pPr>
            <w:r w:rsidRPr="00C8160B">
              <w:rPr>
                <w:rFonts w:ascii="Arial" w:hAnsi="Arial" w:cs="Arial"/>
                <w:kern w:val="32"/>
                <w:sz w:val="22"/>
                <w:szCs w:val="22"/>
              </w:rPr>
              <w:t xml:space="preserve">Collection Based </w:t>
            </w:r>
          </w:p>
        </w:tc>
        <w:tc>
          <w:tcPr>
            <w:tcW w:w="1296" w:type="dxa"/>
            <w:vMerge/>
            <w:vAlign w:val="center"/>
          </w:tcPr>
          <w:p w:rsidR="00AB104A" w:rsidRPr="00C8160B" w:rsidRDefault="00AB104A" w:rsidP="00E52EAD">
            <w:pPr>
              <w:rPr>
                <w:rFonts w:ascii="Arial" w:hAnsi="Arial" w:cs="Arial"/>
                <w:sz w:val="22"/>
                <w:szCs w:val="22"/>
              </w:rPr>
            </w:pPr>
          </w:p>
        </w:tc>
      </w:tr>
      <w:tr w:rsidR="00AB104A" w:rsidRPr="00C8160B" w:rsidTr="00AB104A">
        <w:trPr>
          <w:trHeight w:val="206"/>
        </w:trPr>
        <w:tc>
          <w:tcPr>
            <w:tcW w:w="1350" w:type="dxa"/>
            <w:vMerge/>
            <w:vAlign w:val="center"/>
          </w:tcPr>
          <w:p w:rsidR="00AB104A" w:rsidRPr="00C8160B" w:rsidRDefault="00AB104A" w:rsidP="00E52EAD">
            <w:pPr>
              <w:rPr>
                <w:rFonts w:ascii="Arial" w:hAnsi="Arial" w:cs="Arial"/>
                <w:sz w:val="22"/>
                <w:szCs w:val="22"/>
              </w:rPr>
            </w:pPr>
          </w:p>
        </w:tc>
        <w:tc>
          <w:tcPr>
            <w:tcW w:w="1349" w:type="dxa"/>
            <w:vMerge/>
            <w:vAlign w:val="center"/>
          </w:tcPr>
          <w:p w:rsidR="00AB104A" w:rsidRPr="00C8160B" w:rsidRDefault="00AB104A" w:rsidP="00E52EAD">
            <w:pPr>
              <w:rPr>
                <w:rFonts w:ascii="Arial" w:hAnsi="Arial" w:cs="Arial"/>
                <w:sz w:val="22"/>
                <w:szCs w:val="22"/>
              </w:rPr>
            </w:pPr>
          </w:p>
        </w:tc>
        <w:tc>
          <w:tcPr>
            <w:tcW w:w="803" w:type="dxa"/>
            <w:vMerge/>
            <w:vAlign w:val="center"/>
          </w:tcPr>
          <w:p w:rsidR="00AB104A" w:rsidRPr="00C8160B" w:rsidRDefault="00AB104A" w:rsidP="00E52EAD">
            <w:pPr>
              <w:rPr>
                <w:rFonts w:ascii="Arial" w:hAnsi="Arial" w:cs="Arial"/>
                <w:kern w:val="32"/>
                <w:sz w:val="22"/>
                <w:szCs w:val="22"/>
              </w:rPr>
            </w:pPr>
          </w:p>
        </w:tc>
        <w:tc>
          <w:tcPr>
            <w:tcW w:w="1426" w:type="dxa"/>
            <w:vAlign w:val="center"/>
          </w:tcPr>
          <w:p w:rsidR="00AB104A" w:rsidRPr="00C8160B" w:rsidRDefault="00AB104A" w:rsidP="00E52EAD">
            <w:pPr>
              <w:rPr>
                <w:rFonts w:ascii="Arial" w:hAnsi="Arial" w:cs="Arial"/>
                <w:kern w:val="32"/>
                <w:sz w:val="22"/>
                <w:szCs w:val="22"/>
              </w:rPr>
            </w:pPr>
            <w:r w:rsidRPr="00C8160B">
              <w:rPr>
                <w:rFonts w:ascii="Arial" w:hAnsi="Arial" w:cs="Arial"/>
                <w:kern w:val="32"/>
                <w:sz w:val="22"/>
                <w:szCs w:val="22"/>
              </w:rPr>
              <w:t>Macro level</w:t>
            </w:r>
          </w:p>
        </w:tc>
        <w:tc>
          <w:tcPr>
            <w:tcW w:w="1433" w:type="dxa"/>
            <w:vAlign w:val="center"/>
          </w:tcPr>
          <w:p w:rsidR="00AB104A" w:rsidRPr="00C8160B" w:rsidRDefault="00AB104A" w:rsidP="00E52EAD">
            <w:pPr>
              <w:rPr>
                <w:rFonts w:ascii="Arial" w:hAnsi="Arial" w:cs="Arial"/>
                <w:kern w:val="32"/>
                <w:sz w:val="22"/>
                <w:szCs w:val="22"/>
              </w:rPr>
            </w:pPr>
            <w:r w:rsidRPr="00C8160B">
              <w:rPr>
                <w:rFonts w:ascii="Arial" w:hAnsi="Arial" w:cs="Arial"/>
                <w:kern w:val="32"/>
                <w:sz w:val="22"/>
                <w:szCs w:val="22"/>
              </w:rPr>
              <w:t>Micro level</w:t>
            </w:r>
          </w:p>
        </w:tc>
        <w:tc>
          <w:tcPr>
            <w:tcW w:w="1623" w:type="dxa"/>
            <w:vAlign w:val="center"/>
          </w:tcPr>
          <w:p w:rsidR="00AB104A" w:rsidRPr="00C8160B" w:rsidRDefault="00AB104A" w:rsidP="00E52EAD">
            <w:pPr>
              <w:rPr>
                <w:rFonts w:ascii="Arial" w:hAnsi="Arial" w:cs="Arial"/>
                <w:kern w:val="32"/>
                <w:sz w:val="22"/>
                <w:szCs w:val="22"/>
              </w:rPr>
            </w:pPr>
            <w:r w:rsidRPr="00C8160B">
              <w:rPr>
                <w:rFonts w:ascii="Arial" w:hAnsi="Arial" w:cs="Arial"/>
                <w:kern w:val="32"/>
                <w:sz w:val="22"/>
                <w:szCs w:val="22"/>
              </w:rPr>
              <w:t>Under SEFA</w:t>
            </w:r>
          </w:p>
        </w:tc>
        <w:tc>
          <w:tcPr>
            <w:tcW w:w="1296" w:type="dxa"/>
            <w:vMerge/>
            <w:vAlign w:val="center"/>
          </w:tcPr>
          <w:p w:rsidR="00AB104A" w:rsidRPr="00C8160B" w:rsidRDefault="00AB104A" w:rsidP="00E52EAD">
            <w:pPr>
              <w:rPr>
                <w:rFonts w:ascii="Arial" w:hAnsi="Arial" w:cs="Arial"/>
                <w:sz w:val="22"/>
                <w:szCs w:val="22"/>
              </w:rPr>
            </w:pPr>
          </w:p>
        </w:tc>
      </w:tr>
      <w:tr w:rsidR="00AB104A" w:rsidRPr="00C8160B" w:rsidTr="00AB104A">
        <w:trPr>
          <w:trHeight w:val="386"/>
        </w:trPr>
        <w:tc>
          <w:tcPr>
            <w:tcW w:w="1350" w:type="dxa"/>
            <w:vAlign w:val="center"/>
          </w:tcPr>
          <w:p w:rsidR="00AB104A" w:rsidRPr="00C8160B" w:rsidRDefault="00AB104A" w:rsidP="00E52EAD">
            <w:pPr>
              <w:rPr>
                <w:rFonts w:ascii="Arial" w:hAnsi="Arial" w:cs="Arial"/>
                <w:sz w:val="22"/>
                <w:szCs w:val="22"/>
              </w:rPr>
            </w:pPr>
            <w:r w:rsidRPr="00C8160B">
              <w:rPr>
                <w:rFonts w:ascii="Arial" w:hAnsi="Arial" w:cs="Arial"/>
                <w:sz w:val="22"/>
                <w:szCs w:val="22"/>
              </w:rPr>
              <w:t>NESCO</w:t>
            </w:r>
          </w:p>
        </w:tc>
        <w:tc>
          <w:tcPr>
            <w:tcW w:w="1349" w:type="dxa"/>
            <w:vAlign w:val="center"/>
          </w:tcPr>
          <w:p w:rsidR="00AB104A" w:rsidRPr="00C8160B" w:rsidRDefault="00AB104A" w:rsidP="00E52EAD">
            <w:pPr>
              <w:rPr>
                <w:rFonts w:ascii="Arial" w:hAnsi="Arial" w:cs="Arial"/>
                <w:sz w:val="22"/>
                <w:szCs w:val="22"/>
              </w:rPr>
            </w:pPr>
            <w:r w:rsidRPr="00C8160B">
              <w:rPr>
                <w:rFonts w:ascii="Arial" w:hAnsi="Arial" w:cs="Arial"/>
                <w:sz w:val="22"/>
                <w:szCs w:val="22"/>
              </w:rPr>
              <w:t>14</w:t>
            </w:r>
          </w:p>
        </w:tc>
        <w:tc>
          <w:tcPr>
            <w:tcW w:w="803" w:type="dxa"/>
            <w:vAlign w:val="center"/>
          </w:tcPr>
          <w:p w:rsidR="00AB104A" w:rsidRPr="00C8160B" w:rsidRDefault="00AB104A" w:rsidP="00E52EAD">
            <w:pPr>
              <w:rPr>
                <w:rFonts w:ascii="Arial" w:hAnsi="Arial" w:cs="Arial"/>
                <w:sz w:val="22"/>
                <w:szCs w:val="22"/>
              </w:rPr>
            </w:pPr>
            <w:r w:rsidRPr="00C8160B">
              <w:rPr>
                <w:rFonts w:ascii="Arial" w:hAnsi="Arial" w:cs="Arial"/>
                <w:sz w:val="22"/>
                <w:szCs w:val="22"/>
              </w:rPr>
              <w:t>1</w:t>
            </w:r>
          </w:p>
        </w:tc>
        <w:tc>
          <w:tcPr>
            <w:tcW w:w="1426" w:type="dxa"/>
            <w:vAlign w:val="center"/>
          </w:tcPr>
          <w:p w:rsidR="00AB104A" w:rsidRPr="00C8160B" w:rsidRDefault="00AB104A" w:rsidP="00E52EAD">
            <w:pPr>
              <w:rPr>
                <w:rFonts w:ascii="Arial" w:hAnsi="Arial" w:cs="Arial"/>
                <w:sz w:val="22"/>
                <w:szCs w:val="22"/>
              </w:rPr>
            </w:pPr>
            <w:r w:rsidRPr="00C8160B">
              <w:rPr>
                <w:rFonts w:ascii="Arial" w:hAnsi="Arial" w:cs="Arial"/>
                <w:sz w:val="22"/>
                <w:szCs w:val="22"/>
              </w:rPr>
              <w:t>6</w:t>
            </w:r>
          </w:p>
        </w:tc>
        <w:tc>
          <w:tcPr>
            <w:tcW w:w="1433" w:type="dxa"/>
            <w:vAlign w:val="center"/>
          </w:tcPr>
          <w:p w:rsidR="00AB104A" w:rsidRPr="00C8160B" w:rsidRDefault="00AB104A" w:rsidP="00E52EAD">
            <w:pPr>
              <w:rPr>
                <w:rFonts w:ascii="Arial" w:hAnsi="Arial" w:cs="Arial"/>
                <w:sz w:val="22"/>
                <w:szCs w:val="22"/>
              </w:rPr>
            </w:pPr>
            <w:r w:rsidRPr="00C8160B">
              <w:rPr>
                <w:rFonts w:ascii="Arial" w:hAnsi="Arial" w:cs="Arial"/>
                <w:sz w:val="22"/>
                <w:szCs w:val="22"/>
              </w:rPr>
              <w:t>7</w:t>
            </w:r>
          </w:p>
        </w:tc>
        <w:tc>
          <w:tcPr>
            <w:tcW w:w="1623" w:type="dxa"/>
            <w:vAlign w:val="center"/>
          </w:tcPr>
          <w:p w:rsidR="00AB104A" w:rsidRPr="00C8160B" w:rsidRDefault="00AB104A" w:rsidP="00E52EAD">
            <w:pPr>
              <w:rPr>
                <w:rFonts w:ascii="Arial" w:hAnsi="Arial" w:cs="Arial"/>
                <w:sz w:val="22"/>
                <w:szCs w:val="22"/>
              </w:rPr>
            </w:pPr>
            <w:r w:rsidRPr="00C8160B">
              <w:rPr>
                <w:rFonts w:ascii="Arial" w:hAnsi="Arial" w:cs="Arial"/>
                <w:sz w:val="22"/>
                <w:szCs w:val="22"/>
              </w:rPr>
              <w:t>-</w:t>
            </w:r>
          </w:p>
        </w:tc>
        <w:tc>
          <w:tcPr>
            <w:tcW w:w="1296" w:type="dxa"/>
            <w:vAlign w:val="center"/>
          </w:tcPr>
          <w:p w:rsidR="00AB104A" w:rsidRPr="00C8160B" w:rsidRDefault="00AB104A" w:rsidP="00E52EAD">
            <w:pPr>
              <w:rPr>
                <w:rFonts w:ascii="Arial" w:hAnsi="Arial" w:cs="Arial"/>
                <w:sz w:val="22"/>
                <w:szCs w:val="22"/>
              </w:rPr>
            </w:pPr>
            <w:r w:rsidRPr="00C8160B">
              <w:rPr>
                <w:rFonts w:ascii="Arial" w:hAnsi="Arial" w:cs="Arial"/>
                <w:sz w:val="22"/>
                <w:szCs w:val="22"/>
              </w:rPr>
              <w:t>98568</w:t>
            </w:r>
          </w:p>
        </w:tc>
      </w:tr>
    </w:tbl>
    <w:p w:rsidR="00AB104A" w:rsidRPr="00C8160B" w:rsidRDefault="00AB104A" w:rsidP="00DD6BBF">
      <w:pPr>
        <w:rPr>
          <w:rFonts w:ascii="Arial" w:hAnsi="Arial" w:cs="Arial"/>
          <w:sz w:val="22"/>
          <w:szCs w:val="22"/>
        </w:rPr>
      </w:pPr>
    </w:p>
    <w:p w:rsidR="00DD6BBF" w:rsidRPr="00C8160B" w:rsidRDefault="00DD6BBF" w:rsidP="00DD6BBF">
      <w:pPr>
        <w:rPr>
          <w:rFonts w:ascii="Arial" w:hAnsi="Arial" w:cs="Arial"/>
          <w:sz w:val="22"/>
          <w:szCs w:val="22"/>
          <w:highlight w:val="yellow"/>
        </w:rPr>
      </w:pPr>
    </w:p>
    <w:p w:rsidR="00AB104A" w:rsidRPr="00C8160B" w:rsidRDefault="00AB104A" w:rsidP="00DD6BBF">
      <w:pPr>
        <w:spacing w:line="360" w:lineRule="auto"/>
        <w:jc w:val="both"/>
        <w:rPr>
          <w:rFonts w:ascii="Arial" w:hAnsi="Arial" w:cs="Arial"/>
          <w:sz w:val="22"/>
          <w:szCs w:val="22"/>
        </w:rPr>
      </w:pPr>
    </w:p>
    <w:p w:rsidR="00AB104A" w:rsidRPr="00C8160B" w:rsidRDefault="00AB104A" w:rsidP="00DD6BBF">
      <w:pPr>
        <w:spacing w:line="360" w:lineRule="auto"/>
        <w:jc w:val="both"/>
        <w:rPr>
          <w:rFonts w:ascii="Arial" w:hAnsi="Arial" w:cs="Arial"/>
          <w:sz w:val="22"/>
          <w:szCs w:val="22"/>
        </w:rPr>
      </w:pPr>
    </w:p>
    <w:p w:rsidR="00DD6BBF" w:rsidRPr="00C8160B" w:rsidRDefault="00DD6BBF" w:rsidP="00DD6BBF">
      <w:pPr>
        <w:spacing w:line="360" w:lineRule="auto"/>
        <w:jc w:val="both"/>
        <w:rPr>
          <w:rFonts w:ascii="Arial" w:hAnsi="Arial" w:cs="Arial"/>
          <w:sz w:val="22"/>
          <w:szCs w:val="22"/>
        </w:rPr>
      </w:pPr>
      <w:r w:rsidRPr="00C8160B">
        <w:rPr>
          <w:rFonts w:ascii="Arial" w:hAnsi="Arial" w:cs="Arial"/>
          <w:sz w:val="22"/>
          <w:szCs w:val="22"/>
        </w:rPr>
        <w:lastRenderedPageBreak/>
        <w:t>Further, as regards efforts made towards institutionalization of Franchisees in the Licensee area, the oldest franchisee dates back to 2003-04 i.e. much before Franchisee introduction was made as a national campaign through RGGVY Scheme. We are constantly endeavoring for inducting more and more franchisees in the licensee area on different models. Input Base with revenue assured basis by all the Licensees were introduced in the year 2008. As of now Licensee have individuals, NGOs, WSHGs and Corporate bodies as Franchisees in the DISCOMs which are operating on different models.</w:t>
      </w:r>
    </w:p>
    <w:p w:rsidR="00DD6BBF" w:rsidRPr="00C8160B" w:rsidRDefault="00DD6BBF" w:rsidP="00DD6BBF">
      <w:pPr>
        <w:spacing w:line="360" w:lineRule="auto"/>
        <w:jc w:val="both"/>
        <w:rPr>
          <w:rFonts w:ascii="Arial" w:hAnsi="Arial" w:cs="Arial"/>
          <w:sz w:val="22"/>
          <w:szCs w:val="22"/>
        </w:rPr>
      </w:pPr>
      <w:r w:rsidRPr="00C8160B">
        <w:rPr>
          <w:rFonts w:ascii="Arial" w:hAnsi="Arial" w:cs="Arial"/>
          <w:sz w:val="22"/>
          <w:szCs w:val="22"/>
        </w:rPr>
        <w:t>With an aim to streamline the activities beginning from introduction of franchisee to monitor and oversee the operational support on regular basis, Franchisee Cell created at the Licensee level are monitoring on a regular basis.</w:t>
      </w:r>
    </w:p>
    <w:p w:rsidR="009D36CE" w:rsidRPr="00C8160B" w:rsidRDefault="009D36CE" w:rsidP="00AE0653">
      <w:pPr>
        <w:spacing w:line="360" w:lineRule="auto"/>
        <w:jc w:val="both"/>
        <w:rPr>
          <w:rFonts w:ascii="Arial" w:hAnsi="Arial" w:cs="Arial"/>
          <w:sz w:val="22"/>
          <w:szCs w:val="22"/>
        </w:rPr>
      </w:pPr>
    </w:p>
    <w:p w:rsidR="009D36CE" w:rsidRPr="00C8160B" w:rsidRDefault="009D36CE" w:rsidP="00CF66A5">
      <w:pPr>
        <w:pStyle w:val="Heading1"/>
        <w:numPr>
          <w:ilvl w:val="2"/>
          <w:numId w:val="49"/>
        </w:numPr>
        <w:spacing w:line="360" w:lineRule="auto"/>
        <w:jc w:val="both"/>
        <w:rPr>
          <w:bCs w:val="0"/>
          <w:sz w:val="22"/>
          <w:szCs w:val="22"/>
        </w:rPr>
      </w:pPr>
      <w:bookmarkStart w:id="82" w:name="_Toc404940190"/>
      <w:r w:rsidRPr="00C8160B">
        <w:rPr>
          <w:bCs w:val="0"/>
          <w:sz w:val="22"/>
          <w:szCs w:val="22"/>
        </w:rPr>
        <w:t>Micro Franchisee</w:t>
      </w:r>
      <w:bookmarkEnd w:id="82"/>
    </w:p>
    <w:p w:rsidR="009D36CE" w:rsidRPr="00C8160B" w:rsidRDefault="009D36CE" w:rsidP="00AE0653">
      <w:pPr>
        <w:spacing w:line="360" w:lineRule="auto"/>
        <w:jc w:val="both"/>
        <w:rPr>
          <w:rFonts w:ascii="Arial" w:hAnsi="Arial" w:cs="Arial"/>
          <w:sz w:val="22"/>
          <w:szCs w:val="22"/>
        </w:rPr>
      </w:pPr>
      <w:r w:rsidRPr="00C8160B">
        <w:rPr>
          <w:rFonts w:ascii="Arial" w:hAnsi="Arial" w:cs="Arial"/>
          <w:sz w:val="22"/>
          <w:szCs w:val="22"/>
        </w:rPr>
        <w:t xml:space="preserve">Licensee have also made efforts  for development  of Micro Franchisee in the  Distribution Sector as mandated by the Hon’ble Commission, not only  through NGOs, Cooperatives but also through Women Self Help Group (WSHG) or its  federations at its own or through the District Administration  support . Energy Department in consultation with Women and Child Development Department formulated a scheme known as “SHG ENERGY FRANCHISEE ARRANGEMENTS” (SEFA) for development of Micro Franchisee throughout the State with the help of WSHGs. </w:t>
      </w:r>
    </w:p>
    <w:p w:rsidR="009D36CE" w:rsidRPr="00C8160B" w:rsidRDefault="009D36CE" w:rsidP="00AE0653">
      <w:pPr>
        <w:pStyle w:val="NoSpacing"/>
        <w:spacing w:line="360" w:lineRule="auto"/>
        <w:jc w:val="both"/>
        <w:rPr>
          <w:rFonts w:ascii="Arial" w:hAnsi="Arial" w:cs="Arial"/>
        </w:rPr>
      </w:pPr>
      <w:r w:rsidRPr="00C8160B">
        <w:rPr>
          <w:rFonts w:ascii="Arial" w:hAnsi="Arial" w:cs="Arial"/>
        </w:rPr>
        <w:t>Licensee SOUTHCO on its part has made commendable progress through employing WSHGs as Micro franchisees through SEFA arrangement covering its entire area of operation. It has around 300 Micro Franchisees collecting a monthly revenue of around Rs. 4 crores which is around 7-10 % of the total LT revenue collected.</w:t>
      </w:r>
    </w:p>
    <w:p w:rsidR="009D36CE" w:rsidRPr="00C8160B" w:rsidRDefault="009D36CE" w:rsidP="00AE0653">
      <w:pPr>
        <w:pStyle w:val="NoSpacing"/>
        <w:spacing w:line="360" w:lineRule="auto"/>
        <w:jc w:val="both"/>
        <w:rPr>
          <w:rFonts w:ascii="Arial" w:hAnsi="Arial" w:cs="Arial"/>
        </w:rPr>
      </w:pPr>
    </w:p>
    <w:p w:rsidR="009D36CE" w:rsidRPr="00C8160B" w:rsidRDefault="009D36CE" w:rsidP="00AE0653">
      <w:pPr>
        <w:pStyle w:val="NoSpacing"/>
        <w:spacing w:line="360" w:lineRule="auto"/>
        <w:jc w:val="both"/>
        <w:rPr>
          <w:rFonts w:ascii="Arial" w:hAnsi="Arial" w:cs="Arial"/>
        </w:rPr>
      </w:pPr>
      <w:r w:rsidRPr="00C8160B">
        <w:rPr>
          <w:rFonts w:ascii="Arial" w:hAnsi="Arial" w:cs="Arial"/>
        </w:rPr>
        <w:t>Licensees NESCO and WESCO have also appointed WSHGs as Micro Franchisees in their area of operation but it is not as wide spread as SOUTHCO.</w:t>
      </w:r>
    </w:p>
    <w:p w:rsidR="009D36CE" w:rsidRPr="00C8160B" w:rsidRDefault="009D36CE" w:rsidP="009D36CE">
      <w:pPr>
        <w:pStyle w:val="NoSpacing"/>
        <w:spacing w:line="360" w:lineRule="auto"/>
        <w:ind w:left="720"/>
        <w:jc w:val="both"/>
        <w:rPr>
          <w:rFonts w:ascii="Arial" w:hAnsi="Arial" w:cs="Arial"/>
        </w:rPr>
      </w:pPr>
    </w:p>
    <w:p w:rsidR="009D36CE" w:rsidRPr="00C8160B" w:rsidRDefault="009D36CE" w:rsidP="00CF66A5">
      <w:pPr>
        <w:pStyle w:val="Heading1"/>
        <w:numPr>
          <w:ilvl w:val="2"/>
          <w:numId w:val="49"/>
        </w:numPr>
        <w:spacing w:line="360" w:lineRule="auto"/>
        <w:jc w:val="both"/>
        <w:rPr>
          <w:sz w:val="22"/>
          <w:szCs w:val="22"/>
        </w:rPr>
      </w:pPr>
      <w:bookmarkStart w:id="83" w:name="_Toc404940191"/>
      <w:r w:rsidRPr="00C8160B">
        <w:rPr>
          <w:sz w:val="22"/>
          <w:szCs w:val="22"/>
        </w:rPr>
        <w:t>Progress of Franchisee Implementation in 2014 -15</w:t>
      </w:r>
      <w:bookmarkEnd w:id="83"/>
    </w:p>
    <w:p w:rsidR="009D36CE" w:rsidRPr="00C8160B" w:rsidRDefault="009D36CE" w:rsidP="009D36CE">
      <w:pPr>
        <w:spacing w:line="360" w:lineRule="auto"/>
        <w:rPr>
          <w:rFonts w:ascii="Arial" w:hAnsi="Arial" w:cs="Arial"/>
          <w:sz w:val="22"/>
          <w:szCs w:val="22"/>
        </w:rPr>
      </w:pPr>
    </w:p>
    <w:p w:rsidR="009D36CE" w:rsidRPr="00C8160B" w:rsidRDefault="009D36CE" w:rsidP="009D36CE">
      <w:pPr>
        <w:spacing w:line="360" w:lineRule="auto"/>
        <w:jc w:val="both"/>
        <w:rPr>
          <w:rFonts w:ascii="Arial" w:hAnsi="Arial" w:cs="Arial"/>
          <w:sz w:val="22"/>
          <w:szCs w:val="22"/>
        </w:rPr>
      </w:pPr>
      <w:r w:rsidRPr="00C8160B">
        <w:rPr>
          <w:rFonts w:ascii="Arial" w:hAnsi="Arial" w:cs="Arial"/>
          <w:sz w:val="22"/>
          <w:szCs w:val="22"/>
        </w:rPr>
        <w:t>The Licensees NESCO</w:t>
      </w:r>
      <w:r w:rsidR="00AB104A" w:rsidRPr="00C8160B">
        <w:rPr>
          <w:rFonts w:ascii="Arial" w:hAnsi="Arial" w:cs="Arial"/>
          <w:sz w:val="22"/>
          <w:szCs w:val="22"/>
        </w:rPr>
        <w:t xml:space="preserve"> has</w:t>
      </w:r>
      <w:r w:rsidRPr="00C8160B">
        <w:rPr>
          <w:rFonts w:ascii="Arial" w:hAnsi="Arial" w:cs="Arial"/>
          <w:sz w:val="22"/>
          <w:szCs w:val="22"/>
        </w:rPr>
        <w:t xml:space="preserve"> been giving areas to Franchisee development in the current financial year. The progress made in first 6 months of 2014-15 and areas proposed to be franchised in the remaining period of the financial year are given in the table below:</w:t>
      </w:r>
    </w:p>
    <w:p w:rsidR="009D36CE" w:rsidRPr="00C8160B" w:rsidRDefault="009D36CE" w:rsidP="009D36CE">
      <w:pPr>
        <w:pStyle w:val="NoSpacing"/>
        <w:spacing w:line="360" w:lineRule="auto"/>
        <w:ind w:left="720"/>
        <w:jc w:val="both"/>
        <w:rPr>
          <w:rFonts w:ascii="Arial" w:hAnsi="Arial" w:cs="Arial"/>
          <w:b/>
          <w:bCs/>
        </w:rPr>
      </w:pPr>
      <w:r w:rsidRPr="00C8160B">
        <w:rPr>
          <w:rFonts w:ascii="Arial" w:hAnsi="Arial" w:cs="Arial"/>
          <w:b/>
          <w:bCs/>
        </w:rPr>
        <w:t>Table 2:</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0"/>
        <w:gridCol w:w="2215"/>
        <w:gridCol w:w="1583"/>
        <w:gridCol w:w="1751"/>
        <w:gridCol w:w="1667"/>
      </w:tblGrid>
      <w:tr w:rsidR="009D36CE" w:rsidRPr="00C8160B" w:rsidTr="00246D4D">
        <w:trPr>
          <w:trHeight w:val="86"/>
        </w:trPr>
        <w:tc>
          <w:tcPr>
            <w:tcW w:w="1350" w:type="dxa"/>
            <w:vMerge w:val="restart"/>
            <w:vAlign w:val="center"/>
          </w:tcPr>
          <w:p w:rsidR="009D36CE" w:rsidRPr="00C8160B" w:rsidRDefault="009D36CE" w:rsidP="00246D4D">
            <w:pPr>
              <w:pStyle w:val="NoSpacing"/>
              <w:spacing w:line="360" w:lineRule="auto"/>
              <w:jc w:val="center"/>
              <w:rPr>
                <w:rFonts w:ascii="Arial" w:hAnsi="Arial" w:cs="Arial"/>
                <w:b/>
                <w:bCs/>
              </w:rPr>
            </w:pPr>
            <w:r w:rsidRPr="00C8160B">
              <w:rPr>
                <w:rFonts w:ascii="Arial" w:hAnsi="Arial" w:cs="Arial"/>
                <w:b/>
                <w:bCs/>
              </w:rPr>
              <w:t>Licensee</w:t>
            </w:r>
          </w:p>
        </w:tc>
        <w:tc>
          <w:tcPr>
            <w:tcW w:w="3798" w:type="dxa"/>
            <w:gridSpan w:val="2"/>
          </w:tcPr>
          <w:p w:rsidR="009D36CE" w:rsidRPr="00C8160B" w:rsidRDefault="009D36CE" w:rsidP="00246D4D">
            <w:pPr>
              <w:pStyle w:val="NoSpacing"/>
              <w:spacing w:line="360" w:lineRule="auto"/>
              <w:jc w:val="center"/>
              <w:rPr>
                <w:rFonts w:ascii="Arial" w:hAnsi="Arial" w:cs="Arial"/>
                <w:b/>
                <w:bCs/>
              </w:rPr>
            </w:pPr>
            <w:r w:rsidRPr="00C8160B">
              <w:rPr>
                <w:rFonts w:ascii="Arial" w:hAnsi="Arial" w:cs="Arial"/>
                <w:b/>
                <w:bCs/>
              </w:rPr>
              <w:t>April - Sept’14</w:t>
            </w:r>
          </w:p>
        </w:tc>
        <w:tc>
          <w:tcPr>
            <w:tcW w:w="3418" w:type="dxa"/>
            <w:gridSpan w:val="2"/>
          </w:tcPr>
          <w:p w:rsidR="009D36CE" w:rsidRPr="00C8160B" w:rsidRDefault="009D36CE" w:rsidP="00246D4D">
            <w:pPr>
              <w:pStyle w:val="NoSpacing"/>
              <w:spacing w:line="360" w:lineRule="auto"/>
              <w:jc w:val="center"/>
              <w:rPr>
                <w:rFonts w:ascii="Arial" w:hAnsi="Arial" w:cs="Arial"/>
                <w:b/>
                <w:bCs/>
              </w:rPr>
            </w:pPr>
            <w:r w:rsidRPr="00C8160B">
              <w:rPr>
                <w:rFonts w:ascii="Arial" w:hAnsi="Arial" w:cs="Arial"/>
                <w:b/>
                <w:bCs/>
              </w:rPr>
              <w:t>Oct - Mar’15</w:t>
            </w:r>
          </w:p>
        </w:tc>
      </w:tr>
      <w:tr w:rsidR="009D36CE" w:rsidRPr="00C8160B" w:rsidTr="00246D4D">
        <w:tc>
          <w:tcPr>
            <w:tcW w:w="1350" w:type="dxa"/>
            <w:vMerge/>
          </w:tcPr>
          <w:p w:rsidR="009D36CE" w:rsidRPr="00C8160B" w:rsidRDefault="009D36CE" w:rsidP="00246D4D">
            <w:pPr>
              <w:pStyle w:val="NoSpacing"/>
              <w:spacing w:line="360" w:lineRule="auto"/>
              <w:jc w:val="both"/>
              <w:rPr>
                <w:rFonts w:ascii="Arial" w:hAnsi="Arial" w:cs="Arial"/>
              </w:rPr>
            </w:pPr>
          </w:p>
        </w:tc>
        <w:tc>
          <w:tcPr>
            <w:tcW w:w="2215" w:type="dxa"/>
            <w:vAlign w:val="center"/>
          </w:tcPr>
          <w:p w:rsidR="009D36CE" w:rsidRPr="00C8160B" w:rsidRDefault="009D36CE" w:rsidP="00246D4D">
            <w:pPr>
              <w:pStyle w:val="NoSpacing"/>
              <w:spacing w:line="360" w:lineRule="auto"/>
              <w:rPr>
                <w:rFonts w:ascii="Arial" w:hAnsi="Arial" w:cs="Arial"/>
              </w:rPr>
            </w:pPr>
            <w:r w:rsidRPr="00C8160B">
              <w:rPr>
                <w:rFonts w:ascii="Arial" w:hAnsi="Arial" w:cs="Arial"/>
              </w:rPr>
              <w:t xml:space="preserve">No of Franchisees </w:t>
            </w:r>
            <w:r w:rsidRPr="00C8160B">
              <w:rPr>
                <w:rFonts w:ascii="Arial" w:hAnsi="Arial" w:cs="Arial"/>
              </w:rPr>
              <w:lastRenderedPageBreak/>
              <w:t>deployed</w:t>
            </w:r>
          </w:p>
        </w:tc>
        <w:tc>
          <w:tcPr>
            <w:tcW w:w="1583" w:type="dxa"/>
            <w:vAlign w:val="center"/>
          </w:tcPr>
          <w:p w:rsidR="009D36CE" w:rsidRPr="00C8160B" w:rsidRDefault="009D36CE" w:rsidP="00246D4D">
            <w:pPr>
              <w:pStyle w:val="NoSpacing"/>
              <w:spacing w:line="360" w:lineRule="auto"/>
              <w:rPr>
                <w:rFonts w:ascii="Arial" w:hAnsi="Arial" w:cs="Arial"/>
              </w:rPr>
            </w:pPr>
            <w:r w:rsidRPr="00C8160B">
              <w:rPr>
                <w:rFonts w:ascii="Arial" w:hAnsi="Arial" w:cs="Arial"/>
              </w:rPr>
              <w:lastRenderedPageBreak/>
              <w:t xml:space="preserve">No of </w:t>
            </w:r>
            <w:r w:rsidRPr="00C8160B">
              <w:rPr>
                <w:rFonts w:ascii="Arial" w:hAnsi="Arial" w:cs="Arial"/>
              </w:rPr>
              <w:lastRenderedPageBreak/>
              <w:t>Consumers covered</w:t>
            </w:r>
          </w:p>
        </w:tc>
        <w:tc>
          <w:tcPr>
            <w:tcW w:w="1751" w:type="dxa"/>
            <w:vAlign w:val="center"/>
          </w:tcPr>
          <w:p w:rsidR="009D36CE" w:rsidRPr="00C8160B" w:rsidRDefault="009D36CE" w:rsidP="00246D4D">
            <w:pPr>
              <w:pStyle w:val="NoSpacing"/>
              <w:spacing w:line="360" w:lineRule="auto"/>
              <w:rPr>
                <w:rFonts w:ascii="Arial" w:hAnsi="Arial" w:cs="Arial"/>
              </w:rPr>
            </w:pPr>
            <w:r w:rsidRPr="00C8160B">
              <w:rPr>
                <w:rFonts w:ascii="Arial" w:hAnsi="Arial" w:cs="Arial"/>
              </w:rPr>
              <w:lastRenderedPageBreak/>
              <w:t xml:space="preserve">No of </w:t>
            </w:r>
            <w:r w:rsidRPr="00C8160B">
              <w:rPr>
                <w:rFonts w:ascii="Arial" w:hAnsi="Arial" w:cs="Arial"/>
              </w:rPr>
              <w:lastRenderedPageBreak/>
              <w:t>Franchisees deployed</w:t>
            </w:r>
          </w:p>
        </w:tc>
        <w:tc>
          <w:tcPr>
            <w:tcW w:w="1667" w:type="dxa"/>
            <w:vAlign w:val="center"/>
          </w:tcPr>
          <w:p w:rsidR="009D36CE" w:rsidRPr="00C8160B" w:rsidRDefault="009D36CE" w:rsidP="00246D4D">
            <w:pPr>
              <w:pStyle w:val="NoSpacing"/>
              <w:spacing w:line="360" w:lineRule="auto"/>
              <w:rPr>
                <w:rFonts w:ascii="Arial" w:hAnsi="Arial" w:cs="Arial"/>
              </w:rPr>
            </w:pPr>
            <w:r w:rsidRPr="00C8160B">
              <w:rPr>
                <w:rFonts w:ascii="Arial" w:hAnsi="Arial" w:cs="Arial"/>
              </w:rPr>
              <w:lastRenderedPageBreak/>
              <w:t xml:space="preserve">No of </w:t>
            </w:r>
            <w:r w:rsidRPr="00C8160B">
              <w:rPr>
                <w:rFonts w:ascii="Arial" w:hAnsi="Arial" w:cs="Arial"/>
              </w:rPr>
              <w:lastRenderedPageBreak/>
              <w:t>Consumers covered</w:t>
            </w:r>
          </w:p>
        </w:tc>
      </w:tr>
      <w:tr w:rsidR="009D36CE" w:rsidRPr="00C8160B" w:rsidTr="00246D4D">
        <w:tc>
          <w:tcPr>
            <w:tcW w:w="1350" w:type="dxa"/>
          </w:tcPr>
          <w:p w:rsidR="009D36CE" w:rsidRPr="00C8160B" w:rsidRDefault="009D36CE" w:rsidP="00246D4D">
            <w:pPr>
              <w:pStyle w:val="NoSpacing"/>
              <w:spacing w:line="360" w:lineRule="auto"/>
              <w:jc w:val="both"/>
              <w:rPr>
                <w:rFonts w:ascii="Arial" w:hAnsi="Arial" w:cs="Arial"/>
              </w:rPr>
            </w:pPr>
            <w:r w:rsidRPr="00C8160B">
              <w:rPr>
                <w:rFonts w:ascii="Arial" w:hAnsi="Arial" w:cs="Arial"/>
              </w:rPr>
              <w:lastRenderedPageBreak/>
              <w:t>NESCO</w:t>
            </w:r>
          </w:p>
        </w:tc>
        <w:tc>
          <w:tcPr>
            <w:tcW w:w="2215" w:type="dxa"/>
          </w:tcPr>
          <w:p w:rsidR="009D36CE" w:rsidRPr="00C8160B" w:rsidRDefault="00AB104A" w:rsidP="00246D4D">
            <w:pPr>
              <w:pStyle w:val="NoSpacing"/>
              <w:spacing w:line="360" w:lineRule="auto"/>
              <w:jc w:val="both"/>
              <w:rPr>
                <w:rFonts w:ascii="Arial" w:hAnsi="Arial" w:cs="Arial"/>
              </w:rPr>
            </w:pPr>
            <w:r w:rsidRPr="00C8160B">
              <w:rPr>
                <w:rFonts w:ascii="Arial" w:hAnsi="Arial" w:cs="Arial"/>
              </w:rPr>
              <w:t>14</w:t>
            </w:r>
          </w:p>
        </w:tc>
        <w:tc>
          <w:tcPr>
            <w:tcW w:w="1583" w:type="dxa"/>
          </w:tcPr>
          <w:p w:rsidR="009D36CE" w:rsidRPr="00C8160B" w:rsidRDefault="00AB104A" w:rsidP="00246D4D">
            <w:pPr>
              <w:pStyle w:val="NoSpacing"/>
              <w:spacing w:line="360" w:lineRule="auto"/>
              <w:jc w:val="both"/>
              <w:rPr>
                <w:rFonts w:ascii="Arial" w:hAnsi="Arial" w:cs="Arial"/>
              </w:rPr>
            </w:pPr>
            <w:r w:rsidRPr="00C8160B">
              <w:rPr>
                <w:rFonts w:ascii="Arial" w:hAnsi="Arial" w:cs="Arial"/>
              </w:rPr>
              <w:t>98568</w:t>
            </w:r>
          </w:p>
        </w:tc>
        <w:tc>
          <w:tcPr>
            <w:tcW w:w="1751" w:type="dxa"/>
          </w:tcPr>
          <w:p w:rsidR="009D36CE" w:rsidRPr="00C8160B" w:rsidRDefault="00AB104A" w:rsidP="00246D4D">
            <w:pPr>
              <w:pStyle w:val="NoSpacing"/>
              <w:spacing w:line="360" w:lineRule="auto"/>
              <w:jc w:val="both"/>
              <w:rPr>
                <w:rFonts w:ascii="Arial" w:hAnsi="Arial" w:cs="Arial"/>
              </w:rPr>
            </w:pPr>
            <w:r w:rsidRPr="00C8160B">
              <w:rPr>
                <w:rFonts w:ascii="Arial" w:hAnsi="Arial" w:cs="Arial"/>
              </w:rPr>
              <w:t>14</w:t>
            </w:r>
          </w:p>
        </w:tc>
        <w:tc>
          <w:tcPr>
            <w:tcW w:w="1667" w:type="dxa"/>
          </w:tcPr>
          <w:p w:rsidR="009D36CE" w:rsidRPr="00C8160B" w:rsidRDefault="00AB104A" w:rsidP="00246D4D">
            <w:pPr>
              <w:pStyle w:val="NoSpacing"/>
              <w:spacing w:line="360" w:lineRule="auto"/>
              <w:jc w:val="both"/>
              <w:rPr>
                <w:rFonts w:ascii="Arial" w:hAnsi="Arial" w:cs="Arial"/>
              </w:rPr>
            </w:pPr>
            <w:r w:rsidRPr="00C8160B">
              <w:rPr>
                <w:rFonts w:ascii="Arial" w:hAnsi="Arial" w:cs="Arial"/>
              </w:rPr>
              <w:t>100700</w:t>
            </w:r>
          </w:p>
        </w:tc>
      </w:tr>
    </w:tbl>
    <w:p w:rsidR="009D36CE" w:rsidRPr="00C8160B" w:rsidRDefault="009D36CE" w:rsidP="009D36CE">
      <w:pPr>
        <w:pStyle w:val="NoSpacing"/>
        <w:spacing w:line="360" w:lineRule="auto"/>
        <w:ind w:left="720"/>
        <w:jc w:val="both"/>
        <w:rPr>
          <w:rFonts w:ascii="Arial" w:hAnsi="Arial" w:cs="Arial"/>
        </w:rPr>
      </w:pPr>
    </w:p>
    <w:p w:rsidR="00444C43" w:rsidRPr="00C8160B" w:rsidRDefault="00444C43" w:rsidP="00CF66A5">
      <w:pPr>
        <w:pStyle w:val="Heading1"/>
        <w:numPr>
          <w:ilvl w:val="1"/>
          <w:numId w:val="49"/>
        </w:numPr>
        <w:spacing w:line="360" w:lineRule="auto"/>
        <w:jc w:val="both"/>
        <w:rPr>
          <w:sz w:val="22"/>
          <w:szCs w:val="22"/>
        </w:rPr>
      </w:pPr>
      <w:bookmarkStart w:id="84" w:name="_Toc404940192"/>
      <w:r w:rsidRPr="00C8160B">
        <w:rPr>
          <w:sz w:val="22"/>
          <w:szCs w:val="22"/>
        </w:rPr>
        <w:t>Automated Meter Reading System:</w:t>
      </w:r>
      <w:bookmarkEnd w:id="84"/>
    </w:p>
    <w:p w:rsidR="00444C43" w:rsidRPr="00C8160B" w:rsidRDefault="00444C43" w:rsidP="00444C43">
      <w:pPr>
        <w:autoSpaceDE w:val="0"/>
        <w:autoSpaceDN w:val="0"/>
        <w:adjustRightInd w:val="0"/>
        <w:spacing w:after="200" w:line="360" w:lineRule="auto"/>
        <w:jc w:val="both"/>
        <w:rPr>
          <w:rFonts w:ascii="Arial" w:hAnsi="Arial" w:cs="Arial"/>
          <w:sz w:val="22"/>
          <w:szCs w:val="22"/>
        </w:rPr>
      </w:pPr>
      <w:r w:rsidRPr="00C8160B">
        <w:rPr>
          <w:rFonts w:ascii="Arial" w:hAnsi="Arial" w:cs="Arial"/>
          <w:sz w:val="22"/>
          <w:szCs w:val="22"/>
        </w:rPr>
        <w:t>In the FY 2014-15 installation of Automatic Meter Reading ( AMR) system was taken  up for the   co</w:t>
      </w:r>
      <w:r w:rsidR="00591719" w:rsidRPr="00C8160B">
        <w:rPr>
          <w:rFonts w:ascii="Arial" w:hAnsi="Arial" w:cs="Arial"/>
          <w:sz w:val="22"/>
          <w:szCs w:val="22"/>
        </w:rPr>
        <w:t>nsumers having CD above 10KW.  N</w:t>
      </w:r>
      <w:r w:rsidRPr="00C8160B">
        <w:rPr>
          <w:rFonts w:ascii="Arial" w:hAnsi="Arial" w:cs="Arial"/>
          <w:sz w:val="22"/>
          <w:szCs w:val="22"/>
        </w:rPr>
        <w:t xml:space="preserve">ESCO has succeeded in minimizing the theft of energy by steel industries in its area by using information timely through AMR system.  As on Oct.2014,   number of Automatic Meter Reading System has been installed with consumer meters. </w:t>
      </w:r>
    </w:p>
    <w:p w:rsidR="00202AFA" w:rsidRPr="00C8160B" w:rsidRDefault="00202AFA" w:rsidP="00202AFA">
      <w:pPr>
        <w:autoSpaceDE w:val="0"/>
        <w:autoSpaceDN w:val="0"/>
        <w:adjustRightInd w:val="0"/>
        <w:spacing w:after="200" w:line="360" w:lineRule="auto"/>
        <w:jc w:val="both"/>
        <w:rPr>
          <w:rFonts w:ascii="Arial" w:hAnsi="Arial" w:cs="Arial"/>
          <w:sz w:val="22"/>
          <w:szCs w:val="22"/>
        </w:rPr>
      </w:pPr>
      <w:r w:rsidRPr="00C8160B">
        <w:rPr>
          <w:rFonts w:ascii="Arial" w:hAnsi="Arial" w:cs="Arial"/>
          <w:sz w:val="22"/>
          <w:szCs w:val="22"/>
        </w:rPr>
        <w:t xml:space="preserve">      The licensee has planned for completion of installation of AMR for 2000nos of consumers out of 4873 left out consumers having CD 10Kw and above by end of the financial year 15-16.The plan of implementing the AMR is given in the following table.</w:t>
      </w:r>
    </w:p>
    <w:p w:rsidR="00444C43" w:rsidRPr="00C8160B" w:rsidRDefault="00444C43" w:rsidP="00444C43">
      <w:pPr>
        <w:autoSpaceDE w:val="0"/>
        <w:autoSpaceDN w:val="0"/>
        <w:adjustRightInd w:val="0"/>
        <w:spacing w:after="200" w:line="360" w:lineRule="auto"/>
        <w:ind w:left="6480" w:firstLine="720"/>
        <w:jc w:val="both"/>
        <w:rPr>
          <w:rFonts w:ascii="Arial" w:hAnsi="Arial" w:cs="Arial"/>
          <w:sz w:val="22"/>
          <w:szCs w:val="22"/>
        </w:rPr>
      </w:pPr>
      <w:r w:rsidRPr="00C8160B">
        <w:rPr>
          <w:rFonts w:ascii="Arial" w:hAnsi="Arial" w:cs="Arial"/>
          <w:sz w:val="22"/>
          <w:szCs w:val="22"/>
        </w:rPr>
        <w:t xml:space="preserve"> Rs.lacs</w:t>
      </w:r>
    </w:p>
    <w:tbl>
      <w:tblPr>
        <w:tblW w:w="8856" w:type="dxa"/>
        <w:tblInd w:w="108" w:type="dxa"/>
        <w:tblLayout w:type="fixed"/>
        <w:tblLook w:val="0000"/>
      </w:tblPr>
      <w:tblGrid>
        <w:gridCol w:w="2214"/>
        <w:gridCol w:w="1476"/>
        <w:gridCol w:w="1291"/>
        <w:gridCol w:w="1476"/>
        <w:gridCol w:w="2399"/>
      </w:tblGrid>
      <w:tr w:rsidR="00444C43" w:rsidRPr="00C8160B" w:rsidTr="00B326D3">
        <w:trPr>
          <w:trHeight w:val="762"/>
        </w:trPr>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444C43" w:rsidRPr="00C8160B" w:rsidRDefault="00444C43" w:rsidP="00B326D3">
            <w:pPr>
              <w:autoSpaceDE w:val="0"/>
              <w:autoSpaceDN w:val="0"/>
              <w:adjustRightInd w:val="0"/>
              <w:spacing w:after="200" w:line="360" w:lineRule="auto"/>
              <w:jc w:val="both"/>
              <w:rPr>
                <w:rFonts w:ascii="Arial" w:hAnsi="Arial" w:cs="Arial"/>
                <w:sz w:val="22"/>
                <w:szCs w:val="22"/>
              </w:rPr>
            </w:pPr>
            <w:r w:rsidRPr="00C8160B">
              <w:rPr>
                <w:rFonts w:ascii="Arial" w:hAnsi="Arial" w:cs="Arial"/>
                <w:sz w:val="22"/>
                <w:szCs w:val="22"/>
              </w:rPr>
              <w:t>Balance no. of consumers for FY              2015-16</w:t>
            </w:r>
          </w:p>
        </w:tc>
        <w:tc>
          <w:tcPr>
            <w:tcW w:w="1476" w:type="dxa"/>
            <w:tcBorders>
              <w:top w:val="single" w:sz="3" w:space="0" w:color="000000"/>
              <w:left w:val="single" w:sz="3" w:space="0" w:color="000000"/>
              <w:bottom w:val="single" w:sz="3" w:space="0" w:color="000000"/>
              <w:right w:val="single" w:sz="3" w:space="0" w:color="000000"/>
            </w:tcBorders>
            <w:shd w:val="clear" w:color="000000" w:fill="FFFFFF"/>
          </w:tcPr>
          <w:p w:rsidR="00444C43" w:rsidRPr="00C8160B" w:rsidRDefault="00444C43" w:rsidP="00B326D3">
            <w:pPr>
              <w:autoSpaceDE w:val="0"/>
              <w:autoSpaceDN w:val="0"/>
              <w:adjustRightInd w:val="0"/>
              <w:spacing w:after="200" w:line="360" w:lineRule="auto"/>
              <w:jc w:val="both"/>
              <w:rPr>
                <w:rFonts w:ascii="Arial" w:hAnsi="Arial" w:cs="Arial"/>
                <w:sz w:val="22"/>
                <w:szCs w:val="22"/>
              </w:rPr>
            </w:pPr>
            <w:r w:rsidRPr="00C8160B">
              <w:rPr>
                <w:rFonts w:ascii="Arial" w:hAnsi="Arial" w:cs="Arial"/>
                <w:sz w:val="22"/>
                <w:szCs w:val="22"/>
              </w:rPr>
              <w:t>Cost including Installation</w:t>
            </w:r>
          </w:p>
          <w:p w:rsidR="00444C43" w:rsidRPr="00C8160B" w:rsidRDefault="00444C43" w:rsidP="00B326D3">
            <w:pPr>
              <w:autoSpaceDE w:val="0"/>
              <w:autoSpaceDN w:val="0"/>
              <w:adjustRightInd w:val="0"/>
              <w:spacing w:after="200" w:line="360" w:lineRule="auto"/>
              <w:jc w:val="both"/>
              <w:rPr>
                <w:rFonts w:ascii="Arial" w:hAnsi="Arial" w:cs="Arial"/>
                <w:sz w:val="22"/>
                <w:szCs w:val="22"/>
              </w:rPr>
            </w:pPr>
          </w:p>
        </w:tc>
        <w:tc>
          <w:tcPr>
            <w:tcW w:w="1291" w:type="dxa"/>
            <w:tcBorders>
              <w:top w:val="single" w:sz="3" w:space="0" w:color="000000"/>
              <w:left w:val="single" w:sz="3" w:space="0" w:color="000000"/>
              <w:bottom w:val="single" w:sz="3" w:space="0" w:color="000000"/>
              <w:right w:val="single" w:sz="3" w:space="0" w:color="000000"/>
            </w:tcBorders>
            <w:shd w:val="clear" w:color="000000" w:fill="FFFFFF"/>
          </w:tcPr>
          <w:p w:rsidR="00444C43" w:rsidRPr="00C8160B" w:rsidRDefault="00444C43" w:rsidP="00B326D3">
            <w:pPr>
              <w:autoSpaceDE w:val="0"/>
              <w:autoSpaceDN w:val="0"/>
              <w:adjustRightInd w:val="0"/>
              <w:spacing w:after="200" w:line="360" w:lineRule="auto"/>
              <w:jc w:val="both"/>
              <w:rPr>
                <w:rFonts w:ascii="Arial" w:hAnsi="Arial" w:cs="Arial"/>
                <w:sz w:val="22"/>
                <w:szCs w:val="22"/>
              </w:rPr>
            </w:pPr>
            <w:r w:rsidRPr="00C8160B">
              <w:rPr>
                <w:rFonts w:ascii="Arial" w:hAnsi="Arial" w:cs="Arial"/>
                <w:sz w:val="22"/>
                <w:szCs w:val="22"/>
              </w:rPr>
              <w:t>One time setup cost</w:t>
            </w:r>
          </w:p>
          <w:p w:rsidR="00444C43" w:rsidRPr="00C8160B" w:rsidRDefault="00444C43" w:rsidP="00B326D3">
            <w:pPr>
              <w:autoSpaceDE w:val="0"/>
              <w:autoSpaceDN w:val="0"/>
              <w:adjustRightInd w:val="0"/>
              <w:spacing w:after="200" w:line="360" w:lineRule="auto"/>
              <w:jc w:val="both"/>
              <w:rPr>
                <w:rFonts w:ascii="Arial" w:hAnsi="Arial" w:cs="Arial"/>
                <w:sz w:val="22"/>
                <w:szCs w:val="22"/>
              </w:rPr>
            </w:pPr>
          </w:p>
        </w:tc>
        <w:tc>
          <w:tcPr>
            <w:tcW w:w="1476" w:type="dxa"/>
            <w:tcBorders>
              <w:top w:val="single" w:sz="3" w:space="0" w:color="000000"/>
              <w:left w:val="single" w:sz="3" w:space="0" w:color="000000"/>
              <w:bottom w:val="single" w:sz="3" w:space="0" w:color="000000"/>
              <w:right w:val="single" w:sz="3" w:space="0" w:color="000000"/>
            </w:tcBorders>
            <w:shd w:val="clear" w:color="000000" w:fill="FFFFFF"/>
          </w:tcPr>
          <w:p w:rsidR="00444C43" w:rsidRPr="00C8160B" w:rsidRDefault="00444C43" w:rsidP="00B326D3">
            <w:pPr>
              <w:autoSpaceDE w:val="0"/>
              <w:autoSpaceDN w:val="0"/>
              <w:adjustRightInd w:val="0"/>
              <w:spacing w:after="200" w:line="360" w:lineRule="auto"/>
              <w:jc w:val="both"/>
              <w:rPr>
                <w:rFonts w:ascii="Arial" w:hAnsi="Arial" w:cs="Arial"/>
                <w:sz w:val="22"/>
                <w:szCs w:val="22"/>
              </w:rPr>
            </w:pPr>
            <w:r w:rsidRPr="00C8160B">
              <w:rPr>
                <w:rFonts w:ascii="Arial" w:hAnsi="Arial" w:cs="Arial"/>
                <w:sz w:val="22"/>
                <w:szCs w:val="22"/>
              </w:rPr>
              <w:t xml:space="preserve">Total Cost  </w:t>
            </w:r>
          </w:p>
        </w:tc>
        <w:tc>
          <w:tcPr>
            <w:tcW w:w="2399" w:type="dxa"/>
            <w:tcBorders>
              <w:top w:val="single" w:sz="3" w:space="0" w:color="000000"/>
              <w:left w:val="single" w:sz="3" w:space="0" w:color="000000"/>
              <w:bottom w:val="single" w:sz="3" w:space="0" w:color="000000"/>
              <w:right w:val="single" w:sz="3" w:space="0" w:color="000000"/>
            </w:tcBorders>
            <w:shd w:val="clear" w:color="000000" w:fill="FFFFFF"/>
          </w:tcPr>
          <w:p w:rsidR="00444C43" w:rsidRPr="00C8160B" w:rsidRDefault="00444C43" w:rsidP="00B326D3">
            <w:pPr>
              <w:autoSpaceDE w:val="0"/>
              <w:autoSpaceDN w:val="0"/>
              <w:adjustRightInd w:val="0"/>
              <w:spacing w:after="200" w:line="360" w:lineRule="auto"/>
              <w:jc w:val="both"/>
              <w:rPr>
                <w:rFonts w:ascii="Arial" w:hAnsi="Arial" w:cs="Arial"/>
                <w:sz w:val="22"/>
                <w:szCs w:val="22"/>
              </w:rPr>
            </w:pPr>
            <w:r w:rsidRPr="00C8160B">
              <w:rPr>
                <w:rFonts w:ascii="Arial" w:hAnsi="Arial" w:cs="Arial"/>
                <w:sz w:val="22"/>
                <w:szCs w:val="22"/>
              </w:rPr>
              <w:t xml:space="preserve">Additional Recurring cost per annum for Communication and manpower. </w:t>
            </w:r>
          </w:p>
        </w:tc>
      </w:tr>
      <w:tr w:rsidR="00202AFA" w:rsidRPr="00C8160B" w:rsidTr="00B326D3">
        <w:trPr>
          <w:trHeight w:val="1"/>
        </w:trPr>
        <w:tc>
          <w:tcPr>
            <w:tcW w:w="2214" w:type="dxa"/>
            <w:tcBorders>
              <w:top w:val="single" w:sz="3" w:space="0" w:color="000000"/>
              <w:left w:val="single" w:sz="3" w:space="0" w:color="000000"/>
              <w:bottom w:val="single" w:sz="3" w:space="0" w:color="000000"/>
              <w:right w:val="single" w:sz="3" w:space="0" w:color="000000"/>
            </w:tcBorders>
            <w:shd w:val="clear" w:color="000000" w:fill="FFFFFF"/>
          </w:tcPr>
          <w:p w:rsidR="00202AFA" w:rsidRPr="00C8160B" w:rsidRDefault="00202AFA" w:rsidP="00202AFA">
            <w:pPr>
              <w:autoSpaceDE w:val="0"/>
              <w:autoSpaceDN w:val="0"/>
              <w:adjustRightInd w:val="0"/>
              <w:spacing w:after="200" w:line="360" w:lineRule="auto"/>
              <w:jc w:val="both"/>
              <w:rPr>
                <w:rFonts w:ascii="Arial" w:hAnsi="Arial" w:cs="Arial"/>
                <w:sz w:val="22"/>
                <w:szCs w:val="22"/>
              </w:rPr>
            </w:pPr>
            <w:r w:rsidRPr="00C8160B">
              <w:rPr>
                <w:rFonts w:ascii="Arial" w:hAnsi="Arial" w:cs="Arial"/>
                <w:sz w:val="22"/>
                <w:szCs w:val="22"/>
              </w:rPr>
              <w:t>2000</w:t>
            </w:r>
          </w:p>
        </w:tc>
        <w:tc>
          <w:tcPr>
            <w:tcW w:w="1476" w:type="dxa"/>
            <w:tcBorders>
              <w:top w:val="single" w:sz="3" w:space="0" w:color="000000"/>
              <w:left w:val="single" w:sz="3" w:space="0" w:color="000000"/>
              <w:bottom w:val="single" w:sz="3" w:space="0" w:color="000000"/>
              <w:right w:val="single" w:sz="3" w:space="0" w:color="000000"/>
            </w:tcBorders>
            <w:shd w:val="clear" w:color="000000" w:fill="FFFFFF"/>
          </w:tcPr>
          <w:p w:rsidR="00202AFA" w:rsidRPr="00C8160B" w:rsidRDefault="00202AFA" w:rsidP="00202AFA">
            <w:pPr>
              <w:autoSpaceDE w:val="0"/>
              <w:autoSpaceDN w:val="0"/>
              <w:adjustRightInd w:val="0"/>
              <w:spacing w:after="200" w:line="360" w:lineRule="auto"/>
              <w:jc w:val="both"/>
              <w:rPr>
                <w:rFonts w:ascii="Arial" w:hAnsi="Arial" w:cs="Arial"/>
                <w:sz w:val="22"/>
                <w:szCs w:val="22"/>
              </w:rPr>
            </w:pPr>
            <w:r w:rsidRPr="00C8160B">
              <w:rPr>
                <w:rFonts w:ascii="Arial" w:hAnsi="Arial" w:cs="Arial"/>
                <w:sz w:val="22"/>
                <w:szCs w:val="22"/>
              </w:rPr>
              <w:t>120.00</w:t>
            </w:r>
          </w:p>
        </w:tc>
        <w:tc>
          <w:tcPr>
            <w:tcW w:w="1291" w:type="dxa"/>
            <w:tcBorders>
              <w:top w:val="single" w:sz="3" w:space="0" w:color="000000"/>
              <w:left w:val="single" w:sz="3" w:space="0" w:color="000000"/>
              <w:bottom w:val="single" w:sz="3" w:space="0" w:color="000000"/>
              <w:right w:val="single" w:sz="3" w:space="0" w:color="000000"/>
            </w:tcBorders>
            <w:shd w:val="clear" w:color="000000" w:fill="FFFFFF"/>
          </w:tcPr>
          <w:p w:rsidR="00202AFA" w:rsidRPr="00C8160B" w:rsidRDefault="00202AFA" w:rsidP="00202AFA">
            <w:pPr>
              <w:autoSpaceDE w:val="0"/>
              <w:autoSpaceDN w:val="0"/>
              <w:adjustRightInd w:val="0"/>
              <w:spacing w:after="200" w:line="360" w:lineRule="auto"/>
              <w:jc w:val="both"/>
              <w:rPr>
                <w:rFonts w:ascii="Arial" w:hAnsi="Arial" w:cs="Arial"/>
                <w:sz w:val="22"/>
                <w:szCs w:val="22"/>
              </w:rPr>
            </w:pPr>
            <w:r w:rsidRPr="00C8160B">
              <w:rPr>
                <w:rFonts w:ascii="Arial" w:hAnsi="Arial" w:cs="Arial"/>
                <w:sz w:val="22"/>
                <w:szCs w:val="22"/>
              </w:rPr>
              <w:t>120.00</w:t>
            </w:r>
          </w:p>
        </w:tc>
        <w:tc>
          <w:tcPr>
            <w:tcW w:w="1476" w:type="dxa"/>
            <w:tcBorders>
              <w:top w:val="single" w:sz="3" w:space="0" w:color="000000"/>
              <w:left w:val="single" w:sz="3" w:space="0" w:color="000000"/>
              <w:bottom w:val="single" w:sz="3" w:space="0" w:color="000000"/>
              <w:right w:val="single" w:sz="3" w:space="0" w:color="000000"/>
            </w:tcBorders>
            <w:shd w:val="clear" w:color="000000" w:fill="FFFFFF"/>
          </w:tcPr>
          <w:p w:rsidR="00202AFA" w:rsidRPr="00C8160B" w:rsidRDefault="00202AFA" w:rsidP="00202AFA">
            <w:pPr>
              <w:autoSpaceDE w:val="0"/>
              <w:autoSpaceDN w:val="0"/>
              <w:adjustRightInd w:val="0"/>
              <w:spacing w:after="200" w:line="360" w:lineRule="auto"/>
              <w:jc w:val="both"/>
              <w:rPr>
                <w:rFonts w:ascii="Arial" w:hAnsi="Arial" w:cs="Arial"/>
                <w:sz w:val="22"/>
                <w:szCs w:val="22"/>
              </w:rPr>
            </w:pPr>
            <w:r w:rsidRPr="00C8160B">
              <w:rPr>
                <w:rFonts w:ascii="Arial" w:hAnsi="Arial" w:cs="Arial"/>
                <w:sz w:val="22"/>
                <w:szCs w:val="22"/>
              </w:rPr>
              <w:t>45.24</w:t>
            </w:r>
          </w:p>
        </w:tc>
        <w:tc>
          <w:tcPr>
            <w:tcW w:w="2399" w:type="dxa"/>
            <w:tcBorders>
              <w:top w:val="single" w:sz="3" w:space="0" w:color="000000"/>
              <w:left w:val="single" w:sz="3" w:space="0" w:color="000000"/>
              <w:bottom w:val="single" w:sz="3" w:space="0" w:color="000000"/>
              <w:right w:val="single" w:sz="3" w:space="0" w:color="000000"/>
            </w:tcBorders>
            <w:shd w:val="clear" w:color="000000" w:fill="FFFFFF"/>
          </w:tcPr>
          <w:p w:rsidR="00202AFA" w:rsidRPr="00C8160B" w:rsidRDefault="00202AFA" w:rsidP="00202AFA">
            <w:pPr>
              <w:autoSpaceDE w:val="0"/>
              <w:autoSpaceDN w:val="0"/>
              <w:adjustRightInd w:val="0"/>
              <w:spacing w:after="200" w:line="360" w:lineRule="auto"/>
              <w:jc w:val="both"/>
              <w:rPr>
                <w:rFonts w:ascii="Arial" w:hAnsi="Arial" w:cs="Arial"/>
                <w:sz w:val="22"/>
                <w:szCs w:val="22"/>
              </w:rPr>
            </w:pPr>
            <w:r w:rsidRPr="00C8160B">
              <w:rPr>
                <w:rFonts w:ascii="Arial" w:hAnsi="Arial" w:cs="Arial"/>
                <w:sz w:val="22"/>
                <w:szCs w:val="22"/>
              </w:rPr>
              <w:t>2000</w:t>
            </w:r>
          </w:p>
        </w:tc>
      </w:tr>
    </w:tbl>
    <w:p w:rsidR="00444C43" w:rsidRDefault="00444C43" w:rsidP="00CF66A5">
      <w:pPr>
        <w:pStyle w:val="Heading1"/>
        <w:numPr>
          <w:ilvl w:val="1"/>
          <w:numId w:val="49"/>
        </w:numPr>
        <w:spacing w:line="360" w:lineRule="auto"/>
        <w:jc w:val="both"/>
        <w:rPr>
          <w:rFonts w:ascii="Cambria" w:hAnsi="Cambria"/>
          <w:sz w:val="24"/>
          <w:szCs w:val="24"/>
        </w:rPr>
      </w:pPr>
      <w:bookmarkStart w:id="85" w:name="_Toc310169613"/>
      <w:bookmarkStart w:id="86" w:name="_Toc310169614"/>
      <w:bookmarkStart w:id="87" w:name="_Toc310169615"/>
      <w:bookmarkStart w:id="88" w:name="_Toc310169616"/>
      <w:bookmarkStart w:id="89" w:name="_Toc310169617"/>
      <w:bookmarkStart w:id="90" w:name="_Toc310169618"/>
      <w:bookmarkStart w:id="91" w:name="_Toc310169619"/>
      <w:bookmarkStart w:id="92" w:name="_Toc404940193"/>
      <w:bookmarkEnd w:id="85"/>
      <w:bookmarkEnd w:id="86"/>
      <w:bookmarkEnd w:id="87"/>
      <w:bookmarkEnd w:id="88"/>
      <w:bookmarkEnd w:id="89"/>
      <w:bookmarkEnd w:id="90"/>
      <w:bookmarkEnd w:id="91"/>
      <w:r w:rsidRPr="00BF0E9D">
        <w:rPr>
          <w:rFonts w:ascii="Cambria" w:hAnsi="Cambria"/>
          <w:sz w:val="24"/>
          <w:szCs w:val="24"/>
        </w:rPr>
        <w:t>Prepaid and Smart Metering Initiatives</w:t>
      </w:r>
      <w:bookmarkEnd w:id="92"/>
    </w:p>
    <w:p w:rsidR="00BD4A49" w:rsidRPr="00C8160B" w:rsidRDefault="00BD4A49" w:rsidP="00BD4A49">
      <w:pPr>
        <w:spacing w:line="360" w:lineRule="auto"/>
        <w:jc w:val="both"/>
        <w:rPr>
          <w:rFonts w:ascii="Arial" w:hAnsi="Arial" w:cs="Arial"/>
          <w:sz w:val="22"/>
          <w:szCs w:val="22"/>
        </w:rPr>
      </w:pPr>
      <w:r w:rsidRPr="00C8160B">
        <w:rPr>
          <w:rFonts w:ascii="Arial" w:hAnsi="Arial" w:cs="Arial"/>
          <w:sz w:val="22"/>
          <w:szCs w:val="22"/>
        </w:rPr>
        <w:t xml:space="preserve">Department of Energy, GoO vide Notification  No -918 dated 04.02.2013 communicated DISCOMs to install Pre-paid meters on all State Government and PSU connections   in FY 2013-14. The licensee was required to install the Pre-paid Meter in government establishments including public sector undertakings, autonomous bodies, urban local bodies, govt. societies etc. at State, District and Block levels within 57 days(by 31.03.2013) even though there were no meters readily available in the market &amp; the specification for Prepaid meters both single Phase &amp; three Phase (IS 15884) was yet to be  approved  by Govt of India . </w:t>
      </w:r>
    </w:p>
    <w:p w:rsidR="00BD4A49" w:rsidRPr="00C8160B" w:rsidRDefault="00BD4A49" w:rsidP="00BD4A49">
      <w:pPr>
        <w:autoSpaceDE w:val="0"/>
        <w:autoSpaceDN w:val="0"/>
        <w:adjustRightInd w:val="0"/>
        <w:spacing w:line="360" w:lineRule="auto"/>
        <w:ind w:firstLine="720"/>
        <w:jc w:val="both"/>
        <w:rPr>
          <w:rFonts w:ascii="Arial" w:hAnsi="Arial" w:cs="Arial"/>
          <w:sz w:val="22"/>
          <w:szCs w:val="22"/>
        </w:rPr>
      </w:pPr>
      <w:r w:rsidRPr="00C8160B">
        <w:rPr>
          <w:rFonts w:ascii="Arial" w:hAnsi="Arial" w:cs="Arial"/>
          <w:sz w:val="22"/>
          <w:szCs w:val="22"/>
        </w:rPr>
        <w:t xml:space="preserve">Yet, WESCO, NESCO &amp; SOUTHCO in compliance with the Hon`ble Commission`s order  have taken initiatives to implement the Prepaid Metering Systems for all the Govt. Consumers by selecting M/s JnJ Powercom Systems Ltd &amp; M/s Secure meter Ltd for 4 yrs  lease model through a open tendering Process. Both the vendors are providing the various infrastructures for implementation of Prepaid metering system such as Prepaid Meters, </w:t>
      </w:r>
      <w:r w:rsidRPr="00C8160B">
        <w:rPr>
          <w:rFonts w:ascii="Arial" w:hAnsi="Arial" w:cs="Arial"/>
          <w:sz w:val="22"/>
          <w:szCs w:val="22"/>
        </w:rPr>
        <w:lastRenderedPageBreak/>
        <w:t xml:space="preserve">Vending Stations along with software, hardware &amp; Communication along with manpower for operation of  the system. </w:t>
      </w:r>
    </w:p>
    <w:p w:rsidR="00BD4A49" w:rsidRPr="00C8160B" w:rsidRDefault="00BD4A49" w:rsidP="00BD4A49">
      <w:pPr>
        <w:autoSpaceDE w:val="0"/>
        <w:autoSpaceDN w:val="0"/>
        <w:adjustRightInd w:val="0"/>
        <w:spacing w:line="360" w:lineRule="auto"/>
        <w:ind w:firstLine="720"/>
        <w:jc w:val="both"/>
        <w:rPr>
          <w:rFonts w:ascii="Arial" w:hAnsi="Arial" w:cs="Arial"/>
          <w:sz w:val="22"/>
          <w:szCs w:val="22"/>
        </w:rPr>
      </w:pPr>
      <w:r w:rsidRPr="00C8160B">
        <w:rPr>
          <w:rFonts w:ascii="Arial" w:hAnsi="Arial" w:cs="Arial"/>
          <w:sz w:val="22"/>
          <w:szCs w:val="22"/>
        </w:rPr>
        <w:t xml:space="preserve">As per the decision of DISCOMs Board of Directors, one circle in each DISCOM have been awarded to both the vendors on pilot basis and will be subsequently rolled out through out the Discoms. </w:t>
      </w:r>
    </w:p>
    <w:p w:rsidR="00BD4A49" w:rsidRPr="00C8160B" w:rsidRDefault="00BD4A49" w:rsidP="00BD4A49">
      <w:pPr>
        <w:spacing w:line="360" w:lineRule="auto"/>
        <w:ind w:firstLine="720"/>
        <w:jc w:val="both"/>
        <w:rPr>
          <w:rFonts w:ascii="Arial" w:hAnsi="Arial" w:cs="Arial"/>
          <w:b/>
          <w:sz w:val="22"/>
          <w:szCs w:val="22"/>
        </w:rPr>
      </w:pPr>
      <w:r w:rsidRPr="00C8160B">
        <w:rPr>
          <w:rFonts w:ascii="Arial" w:hAnsi="Arial" w:cs="Arial"/>
          <w:b/>
          <w:sz w:val="22"/>
          <w:szCs w:val="22"/>
        </w:rPr>
        <w:t>Present status:</w:t>
      </w:r>
    </w:p>
    <w:p w:rsidR="00BD4A49" w:rsidRPr="00C8160B" w:rsidRDefault="00BD4A49" w:rsidP="00BD4A49">
      <w:pPr>
        <w:spacing w:line="360" w:lineRule="auto"/>
        <w:jc w:val="both"/>
        <w:rPr>
          <w:rFonts w:ascii="Arial" w:hAnsi="Arial" w:cs="Arial"/>
          <w:sz w:val="22"/>
          <w:szCs w:val="22"/>
        </w:rPr>
      </w:pPr>
      <w:r w:rsidRPr="00C8160B">
        <w:rPr>
          <w:rFonts w:ascii="Arial" w:hAnsi="Arial" w:cs="Arial"/>
          <w:sz w:val="22"/>
          <w:szCs w:val="22"/>
        </w:rPr>
        <w:t>Out of 4036 (NESCO-2149, WESCO-930, SOUTHCO-957 ) nos of consumers were awarded on a  pilot basis to  M/s JnJ Powercom Systems Ltd, They have installed 1219 no’s (NESCO-423,WESCO-487,SOUTHCO-309) of Smart Prepaid meters in three DISCOM &amp; DISCOMS have realized Rs 0.71 Crs (NESCO-0.30 crs ,WESCO-0.25Crs ,SOUTHCO-0.16) through recharge Voucher till date during the pilot Project implementation  .</w:t>
      </w:r>
    </w:p>
    <w:p w:rsidR="00BD4A49" w:rsidRPr="00C8160B" w:rsidRDefault="00BD4A49" w:rsidP="00BD4A49">
      <w:pPr>
        <w:spacing w:line="360" w:lineRule="auto"/>
        <w:jc w:val="both"/>
        <w:rPr>
          <w:rFonts w:ascii="Arial" w:hAnsi="Arial" w:cs="Arial"/>
          <w:sz w:val="22"/>
          <w:szCs w:val="22"/>
        </w:rPr>
      </w:pPr>
      <w:r w:rsidRPr="00C8160B">
        <w:rPr>
          <w:rFonts w:ascii="Arial" w:hAnsi="Arial" w:cs="Arial"/>
          <w:sz w:val="22"/>
          <w:szCs w:val="22"/>
        </w:rPr>
        <w:t>M/s Secure Meter Ltd has given their acceptance for WESCO for 1328 nos of consumer at Sambalpur Circle &amp; Completed the survey &amp; will install the meter shortly. He will carry out the Prepaid Metering System in NESCO &amp; SOUTHCO after successful operation at WESCO.</w:t>
      </w:r>
    </w:p>
    <w:p w:rsidR="00BD4A49" w:rsidRPr="00C8160B" w:rsidRDefault="00BD4A49" w:rsidP="00BD4A49">
      <w:pPr>
        <w:spacing w:line="360" w:lineRule="auto"/>
        <w:ind w:firstLine="720"/>
        <w:jc w:val="both"/>
        <w:rPr>
          <w:rFonts w:ascii="Arial" w:hAnsi="Arial" w:cs="Arial"/>
          <w:sz w:val="22"/>
          <w:szCs w:val="22"/>
        </w:rPr>
      </w:pPr>
      <w:r w:rsidRPr="00C8160B">
        <w:rPr>
          <w:rFonts w:ascii="Arial" w:hAnsi="Arial" w:cs="Arial"/>
          <w:b/>
          <w:sz w:val="22"/>
          <w:szCs w:val="22"/>
        </w:rPr>
        <w:t>Reason for Delay</w:t>
      </w:r>
      <w:r w:rsidRPr="00C8160B">
        <w:rPr>
          <w:rFonts w:ascii="Arial" w:hAnsi="Arial" w:cs="Arial"/>
          <w:sz w:val="22"/>
          <w:szCs w:val="22"/>
        </w:rPr>
        <w:t>:</w:t>
      </w:r>
    </w:p>
    <w:p w:rsidR="00BD4A49" w:rsidRPr="00C8160B" w:rsidRDefault="00BD4A49" w:rsidP="00BD4A49">
      <w:pPr>
        <w:spacing w:line="360" w:lineRule="auto"/>
        <w:jc w:val="both"/>
        <w:rPr>
          <w:rFonts w:ascii="Arial" w:hAnsi="Arial" w:cs="Arial"/>
          <w:sz w:val="22"/>
          <w:szCs w:val="22"/>
        </w:rPr>
      </w:pPr>
      <w:r w:rsidRPr="00C8160B">
        <w:rPr>
          <w:rFonts w:ascii="Arial" w:hAnsi="Arial" w:cs="Arial"/>
          <w:sz w:val="22"/>
          <w:szCs w:val="22"/>
        </w:rPr>
        <w:t>The Prepaid metering system ( Specifically AMI based Pre-paid Meters )  is  a new technology, which  is yet to be proven in power distribution &amp; many  implementing agencies are doing for a  small quantities in many areas throughout India  through various technologies . Specification for the smart prepaid meter is yet to be finalized. As of now, a letter from CEA on 18.02.2014 regarding the functional specification of single Phase smart meter ( letter No: CEA/DPD/Smart Meter/2013/8916 dated 18.02.2014.) has been published.</w:t>
      </w:r>
    </w:p>
    <w:p w:rsidR="00BD4A49" w:rsidRPr="00C8160B" w:rsidRDefault="00BD4A49" w:rsidP="00BD4A49">
      <w:pPr>
        <w:spacing w:line="360" w:lineRule="auto"/>
        <w:ind w:firstLine="720"/>
        <w:jc w:val="both"/>
        <w:rPr>
          <w:rFonts w:ascii="Arial" w:hAnsi="Arial" w:cs="Arial"/>
          <w:sz w:val="22"/>
          <w:szCs w:val="22"/>
        </w:rPr>
      </w:pPr>
      <w:r w:rsidRPr="00C8160B">
        <w:rPr>
          <w:rFonts w:ascii="Arial" w:hAnsi="Arial" w:cs="Arial"/>
          <w:b/>
          <w:sz w:val="22"/>
          <w:szCs w:val="22"/>
        </w:rPr>
        <w:t>Implementation Difficulties</w:t>
      </w:r>
    </w:p>
    <w:p w:rsidR="00BD4A49" w:rsidRPr="00C8160B" w:rsidRDefault="00BD4A49" w:rsidP="00BD4A49">
      <w:pPr>
        <w:spacing w:line="360" w:lineRule="auto"/>
        <w:jc w:val="both"/>
        <w:rPr>
          <w:rFonts w:ascii="Arial" w:hAnsi="Arial" w:cs="Arial"/>
          <w:sz w:val="22"/>
          <w:szCs w:val="22"/>
        </w:rPr>
      </w:pPr>
      <w:r w:rsidRPr="00C8160B">
        <w:rPr>
          <w:rFonts w:ascii="Arial" w:hAnsi="Arial" w:cs="Arial"/>
          <w:sz w:val="22"/>
          <w:szCs w:val="22"/>
        </w:rPr>
        <w:t>Presently DISCOMs  are facing following Difficulties in implementation  :</w:t>
      </w:r>
    </w:p>
    <w:p w:rsidR="00BD4A49" w:rsidRPr="00C8160B" w:rsidRDefault="00BD4A49" w:rsidP="00CF66A5">
      <w:pPr>
        <w:pStyle w:val="ListParagraph"/>
        <w:numPr>
          <w:ilvl w:val="0"/>
          <w:numId w:val="41"/>
        </w:numPr>
        <w:spacing w:line="360" w:lineRule="auto"/>
        <w:ind w:left="720"/>
        <w:jc w:val="both"/>
        <w:rPr>
          <w:rFonts w:ascii="Arial" w:eastAsia="Times New Roman" w:hAnsi="Arial" w:cs="Arial"/>
        </w:rPr>
      </w:pPr>
      <w:r w:rsidRPr="00C8160B">
        <w:rPr>
          <w:rFonts w:ascii="Arial" w:eastAsia="Times New Roman" w:hAnsi="Arial" w:cs="Arial"/>
        </w:rPr>
        <w:t xml:space="preserve"> Government offices are resisting installation because of remote disconnecting features in Prepaid meters .</w:t>
      </w:r>
    </w:p>
    <w:p w:rsidR="00BD4A49" w:rsidRPr="00C8160B" w:rsidRDefault="00BD4A49" w:rsidP="00CF66A5">
      <w:pPr>
        <w:pStyle w:val="ListParagraph"/>
        <w:numPr>
          <w:ilvl w:val="0"/>
          <w:numId w:val="41"/>
        </w:numPr>
        <w:spacing w:line="360" w:lineRule="auto"/>
        <w:ind w:left="720"/>
        <w:jc w:val="both"/>
        <w:rPr>
          <w:rFonts w:ascii="Arial" w:eastAsia="Times New Roman" w:hAnsi="Arial" w:cs="Arial"/>
        </w:rPr>
      </w:pPr>
      <w:r w:rsidRPr="00C8160B">
        <w:rPr>
          <w:rFonts w:ascii="Arial" w:eastAsia="Times New Roman" w:hAnsi="Arial" w:cs="Arial"/>
        </w:rPr>
        <w:t xml:space="preserve">Govt. Consumers are facing  difficulties in arrangement of their monthly fund allocation for pre-paid Meter recharge. </w:t>
      </w:r>
    </w:p>
    <w:p w:rsidR="00BD4A49" w:rsidRPr="00C8160B" w:rsidRDefault="00BD4A49" w:rsidP="00BD4A49">
      <w:pPr>
        <w:spacing w:line="360" w:lineRule="auto"/>
        <w:ind w:firstLine="450"/>
        <w:rPr>
          <w:rFonts w:ascii="Arial" w:hAnsi="Arial" w:cs="Arial"/>
          <w:b/>
          <w:sz w:val="22"/>
          <w:szCs w:val="22"/>
        </w:rPr>
      </w:pPr>
      <w:r w:rsidRPr="00C8160B">
        <w:rPr>
          <w:rFonts w:ascii="Arial" w:hAnsi="Arial" w:cs="Arial"/>
          <w:sz w:val="22"/>
          <w:szCs w:val="22"/>
        </w:rPr>
        <w:tab/>
      </w:r>
      <w:r w:rsidRPr="00C8160B">
        <w:rPr>
          <w:rFonts w:ascii="Arial" w:hAnsi="Arial" w:cs="Arial"/>
          <w:b/>
          <w:sz w:val="22"/>
          <w:szCs w:val="22"/>
        </w:rPr>
        <w:t xml:space="preserve">Other Factors Affected Implementation </w:t>
      </w:r>
    </w:p>
    <w:p w:rsidR="00BD4A49" w:rsidRPr="00C8160B" w:rsidRDefault="00BD4A49" w:rsidP="00BD4A49">
      <w:pPr>
        <w:spacing w:line="360" w:lineRule="auto"/>
        <w:jc w:val="both"/>
        <w:rPr>
          <w:rFonts w:ascii="Arial" w:hAnsi="Arial" w:cs="Arial"/>
          <w:sz w:val="22"/>
          <w:szCs w:val="22"/>
        </w:rPr>
      </w:pPr>
      <w:r w:rsidRPr="00C8160B">
        <w:rPr>
          <w:rFonts w:ascii="Arial" w:hAnsi="Arial" w:cs="Arial"/>
          <w:sz w:val="22"/>
          <w:szCs w:val="22"/>
        </w:rPr>
        <w:t xml:space="preserve">Due to  cyclone “phailin” occured on 12.10.2013 &amp; divested the entire electrical network of the SOUTHCO, Partly NESCO &amp; WESCO,  which has also delayed DISCOMs  Prepaid installation Project implementation. </w:t>
      </w:r>
    </w:p>
    <w:p w:rsidR="00BD4A49" w:rsidRPr="00C8160B" w:rsidRDefault="00BD4A49" w:rsidP="00BD4A49">
      <w:pPr>
        <w:spacing w:line="360" w:lineRule="auto"/>
        <w:rPr>
          <w:rFonts w:ascii="Arial" w:hAnsi="Arial" w:cs="Arial"/>
          <w:sz w:val="22"/>
          <w:szCs w:val="22"/>
        </w:rPr>
      </w:pPr>
      <w:r w:rsidRPr="00C8160B">
        <w:rPr>
          <w:rFonts w:ascii="Arial" w:hAnsi="Arial" w:cs="Arial"/>
          <w:b/>
          <w:sz w:val="22"/>
          <w:szCs w:val="22"/>
        </w:rPr>
        <w:t>Benefit:</w:t>
      </w:r>
    </w:p>
    <w:p w:rsidR="00BD4A49" w:rsidRPr="00C8160B" w:rsidRDefault="00BD4A49" w:rsidP="00AA1BD0">
      <w:pPr>
        <w:spacing w:line="360" w:lineRule="auto"/>
        <w:jc w:val="both"/>
        <w:rPr>
          <w:rFonts w:ascii="Arial" w:hAnsi="Arial" w:cs="Arial"/>
          <w:sz w:val="22"/>
          <w:szCs w:val="22"/>
        </w:rPr>
      </w:pPr>
      <w:r w:rsidRPr="00C8160B">
        <w:rPr>
          <w:rFonts w:ascii="Arial" w:hAnsi="Arial" w:cs="Arial"/>
          <w:sz w:val="22"/>
          <w:szCs w:val="22"/>
        </w:rPr>
        <w:t>The benefits after installation of smart prepaid meter are  in the form of  Accurate Meter Reading, Billing Improvement, Increase of contract demands and economical use of energy</w:t>
      </w:r>
    </w:p>
    <w:p w:rsidR="00AA1BD0" w:rsidRDefault="00AA1BD0" w:rsidP="00BD4A49">
      <w:pPr>
        <w:autoSpaceDE w:val="0"/>
        <w:autoSpaceDN w:val="0"/>
        <w:adjustRightInd w:val="0"/>
        <w:spacing w:line="360" w:lineRule="auto"/>
        <w:jc w:val="both"/>
        <w:rPr>
          <w:rFonts w:ascii="Arial" w:hAnsi="Arial" w:cs="Arial"/>
          <w:b/>
          <w:sz w:val="22"/>
          <w:szCs w:val="22"/>
        </w:rPr>
      </w:pPr>
    </w:p>
    <w:p w:rsidR="00AA1BD0" w:rsidRDefault="00AA1BD0" w:rsidP="00BD4A49">
      <w:pPr>
        <w:autoSpaceDE w:val="0"/>
        <w:autoSpaceDN w:val="0"/>
        <w:adjustRightInd w:val="0"/>
        <w:spacing w:line="360" w:lineRule="auto"/>
        <w:jc w:val="both"/>
        <w:rPr>
          <w:rFonts w:ascii="Arial" w:hAnsi="Arial" w:cs="Arial"/>
          <w:b/>
          <w:sz w:val="22"/>
          <w:szCs w:val="22"/>
        </w:rPr>
      </w:pPr>
    </w:p>
    <w:p w:rsidR="00BD4A49" w:rsidRPr="00C8160B" w:rsidRDefault="00BD4A49" w:rsidP="00BD4A49">
      <w:pPr>
        <w:autoSpaceDE w:val="0"/>
        <w:autoSpaceDN w:val="0"/>
        <w:adjustRightInd w:val="0"/>
        <w:spacing w:line="360" w:lineRule="auto"/>
        <w:jc w:val="both"/>
        <w:rPr>
          <w:rFonts w:ascii="Arial" w:hAnsi="Arial" w:cs="Arial"/>
          <w:b/>
          <w:sz w:val="22"/>
          <w:szCs w:val="22"/>
        </w:rPr>
      </w:pPr>
      <w:r w:rsidRPr="00C8160B">
        <w:rPr>
          <w:rFonts w:ascii="Arial" w:hAnsi="Arial" w:cs="Arial"/>
          <w:b/>
          <w:sz w:val="22"/>
          <w:szCs w:val="22"/>
        </w:rPr>
        <w:lastRenderedPageBreak/>
        <w:t>Cost Implication:</w:t>
      </w:r>
    </w:p>
    <w:p w:rsidR="00BD4A49" w:rsidRPr="00C8160B" w:rsidRDefault="00BD4A49" w:rsidP="00BD4A49">
      <w:pPr>
        <w:autoSpaceDE w:val="0"/>
        <w:autoSpaceDN w:val="0"/>
        <w:adjustRightInd w:val="0"/>
        <w:spacing w:line="360" w:lineRule="auto"/>
        <w:jc w:val="both"/>
        <w:rPr>
          <w:rFonts w:ascii="Arial" w:hAnsi="Arial" w:cs="Arial"/>
          <w:sz w:val="22"/>
          <w:szCs w:val="22"/>
        </w:rPr>
      </w:pPr>
      <w:r w:rsidRPr="00C8160B">
        <w:rPr>
          <w:rFonts w:ascii="Arial" w:hAnsi="Arial" w:cs="Arial"/>
          <w:sz w:val="22"/>
          <w:szCs w:val="22"/>
        </w:rPr>
        <w:t>Based on the open tender following rate have been finalized for leasing charge as well as service charges as mentioned :</w:t>
      </w:r>
    </w:p>
    <w:tbl>
      <w:tblPr>
        <w:tblW w:w="9434" w:type="dxa"/>
        <w:tblInd w:w="-627" w:type="dxa"/>
        <w:tblLook w:val="04A0"/>
      </w:tblPr>
      <w:tblGrid>
        <w:gridCol w:w="2958"/>
        <w:gridCol w:w="3238"/>
        <w:gridCol w:w="3238"/>
      </w:tblGrid>
      <w:tr w:rsidR="00BD4A49" w:rsidRPr="00C8160B" w:rsidTr="00BD4A49">
        <w:trPr>
          <w:trHeight w:val="1279"/>
        </w:trPr>
        <w:tc>
          <w:tcPr>
            <w:tcW w:w="29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A49" w:rsidRPr="00C8160B" w:rsidRDefault="00BD4A49" w:rsidP="003D297C">
            <w:pPr>
              <w:spacing w:line="360" w:lineRule="auto"/>
              <w:jc w:val="center"/>
              <w:rPr>
                <w:rFonts w:ascii="Arial" w:hAnsi="Arial" w:cs="Arial"/>
                <w:color w:val="000000"/>
                <w:sz w:val="22"/>
                <w:szCs w:val="22"/>
              </w:rPr>
            </w:pPr>
            <w:r w:rsidRPr="00C8160B">
              <w:rPr>
                <w:rFonts w:ascii="Arial" w:hAnsi="Arial" w:cs="Arial"/>
                <w:color w:val="000000"/>
                <w:sz w:val="22"/>
                <w:szCs w:val="22"/>
              </w:rPr>
              <w:t>Type of Consumers</w:t>
            </w:r>
          </w:p>
        </w:tc>
        <w:tc>
          <w:tcPr>
            <w:tcW w:w="3238" w:type="dxa"/>
            <w:tcBorders>
              <w:top w:val="single" w:sz="4" w:space="0" w:color="auto"/>
              <w:left w:val="nil"/>
              <w:bottom w:val="single" w:sz="4" w:space="0" w:color="auto"/>
              <w:right w:val="single" w:sz="4" w:space="0" w:color="auto"/>
            </w:tcBorders>
            <w:shd w:val="clear" w:color="auto" w:fill="auto"/>
            <w:vAlign w:val="center"/>
            <w:hideMark/>
          </w:tcPr>
          <w:p w:rsidR="00BD4A49" w:rsidRPr="00C8160B" w:rsidRDefault="00BD4A49" w:rsidP="003D297C">
            <w:pPr>
              <w:spacing w:line="360" w:lineRule="auto"/>
              <w:jc w:val="center"/>
              <w:rPr>
                <w:rFonts w:ascii="Arial" w:hAnsi="Arial" w:cs="Arial"/>
                <w:color w:val="000000"/>
                <w:sz w:val="22"/>
                <w:szCs w:val="22"/>
              </w:rPr>
            </w:pPr>
            <w:r w:rsidRPr="00C8160B">
              <w:rPr>
                <w:rFonts w:ascii="Arial" w:hAnsi="Arial" w:cs="Arial"/>
                <w:color w:val="000000"/>
                <w:sz w:val="22"/>
                <w:szCs w:val="22"/>
              </w:rPr>
              <w:t>Leasing charges for Meter (per Month per Meter)</w:t>
            </w:r>
          </w:p>
        </w:tc>
        <w:tc>
          <w:tcPr>
            <w:tcW w:w="3238" w:type="dxa"/>
            <w:tcBorders>
              <w:top w:val="single" w:sz="4" w:space="0" w:color="auto"/>
              <w:left w:val="nil"/>
              <w:bottom w:val="single" w:sz="4" w:space="0" w:color="auto"/>
              <w:right w:val="single" w:sz="4" w:space="0" w:color="auto"/>
            </w:tcBorders>
            <w:shd w:val="clear" w:color="auto" w:fill="auto"/>
            <w:vAlign w:val="center"/>
            <w:hideMark/>
          </w:tcPr>
          <w:p w:rsidR="00BD4A49" w:rsidRPr="00C8160B" w:rsidRDefault="00BD4A49" w:rsidP="003D297C">
            <w:pPr>
              <w:spacing w:line="360" w:lineRule="auto"/>
              <w:jc w:val="center"/>
              <w:rPr>
                <w:rFonts w:ascii="Arial" w:hAnsi="Arial" w:cs="Arial"/>
                <w:color w:val="000000"/>
                <w:sz w:val="22"/>
                <w:szCs w:val="22"/>
              </w:rPr>
            </w:pPr>
            <w:r w:rsidRPr="00C8160B">
              <w:rPr>
                <w:rFonts w:ascii="Arial" w:hAnsi="Arial" w:cs="Arial"/>
                <w:color w:val="000000"/>
                <w:sz w:val="22"/>
                <w:szCs w:val="22"/>
              </w:rPr>
              <w:t>Service charges (per Month per Meter)</w:t>
            </w:r>
          </w:p>
        </w:tc>
      </w:tr>
      <w:tr w:rsidR="00BD4A49" w:rsidRPr="00C8160B" w:rsidTr="00BD4A49">
        <w:trPr>
          <w:trHeight w:val="593"/>
        </w:trPr>
        <w:tc>
          <w:tcPr>
            <w:tcW w:w="2958" w:type="dxa"/>
            <w:tcBorders>
              <w:top w:val="nil"/>
              <w:left w:val="single" w:sz="4" w:space="0" w:color="auto"/>
              <w:bottom w:val="single" w:sz="4" w:space="0" w:color="auto"/>
              <w:right w:val="single" w:sz="4" w:space="0" w:color="auto"/>
            </w:tcBorders>
            <w:shd w:val="clear" w:color="auto" w:fill="auto"/>
            <w:noWrap/>
            <w:vAlign w:val="center"/>
            <w:hideMark/>
          </w:tcPr>
          <w:p w:rsidR="00BD4A49" w:rsidRPr="00C8160B" w:rsidRDefault="00BD4A49" w:rsidP="003D297C">
            <w:pPr>
              <w:spacing w:line="360" w:lineRule="auto"/>
              <w:jc w:val="center"/>
              <w:rPr>
                <w:rFonts w:ascii="Arial" w:hAnsi="Arial" w:cs="Arial"/>
                <w:color w:val="000000"/>
                <w:sz w:val="22"/>
                <w:szCs w:val="22"/>
              </w:rPr>
            </w:pPr>
            <w:r w:rsidRPr="00C8160B">
              <w:rPr>
                <w:rFonts w:ascii="Arial" w:hAnsi="Arial" w:cs="Arial"/>
                <w:color w:val="000000"/>
                <w:sz w:val="22"/>
                <w:szCs w:val="22"/>
              </w:rPr>
              <w:t>Single Phase</w:t>
            </w:r>
          </w:p>
        </w:tc>
        <w:tc>
          <w:tcPr>
            <w:tcW w:w="3238" w:type="dxa"/>
            <w:tcBorders>
              <w:top w:val="nil"/>
              <w:left w:val="nil"/>
              <w:bottom w:val="single" w:sz="4" w:space="0" w:color="auto"/>
              <w:right w:val="single" w:sz="4" w:space="0" w:color="auto"/>
            </w:tcBorders>
            <w:shd w:val="clear" w:color="auto" w:fill="auto"/>
            <w:vAlign w:val="center"/>
            <w:hideMark/>
          </w:tcPr>
          <w:p w:rsidR="00BD4A49" w:rsidRPr="00C8160B" w:rsidRDefault="00BD4A49" w:rsidP="003D297C">
            <w:pPr>
              <w:spacing w:line="360" w:lineRule="auto"/>
              <w:jc w:val="center"/>
              <w:rPr>
                <w:rFonts w:ascii="Arial" w:hAnsi="Arial" w:cs="Arial"/>
                <w:color w:val="000000"/>
                <w:sz w:val="22"/>
                <w:szCs w:val="22"/>
              </w:rPr>
            </w:pPr>
            <w:r w:rsidRPr="00C8160B">
              <w:rPr>
                <w:rFonts w:ascii="Arial" w:hAnsi="Arial" w:cs="Arial"/>
                <w:color w:val="000000"/>
                <w:sz w:val="22"/>
                <w:szCs w:val="22"/>
              </w:rPr>
              <w:t>241</w:t>
            </w:r>
          </w:p>
        </w:tc>
        <w:tc>
          <w:tcPr>
            <w:tcW w:w="3238" w:type="dxa"/>
            <w:tcBorders>
              <w:top w:val="nil"/>
              <w:left w:val="nil"/>
              <w:bottom w:val="single" w:sz="4" w:space="0" w:color="auto"/>
              <w:right w:val="single" w:sz="4" w:space="0" w:color="auto"/>
            </w:tcBorders>
            <w:shd w:val="clear" w:color="auto" w:fill="auto"/>
            <w:vAlign w:val="center"/>
            <w:hideMark/>
          </w:tcPr>
          <w:p w:rsidR="00BD4A49" w:rsidRPr="00C8160B" w:rsidRDefault="00BD4A49" w:rsidP="003D297C">
            <w:pPr>
              <w:spacing w:line="360" w:lineRule="auto"/>
              <w:jc w:val="center"/>
              <w:rPr>
                <w:rFonts w:ascii="Arial" w:hAnsi="Arial" w:cs="Arial"/>
                <w:color w:val="000000"/>
                <w:sz w:val="22"/>
                <w:szCs w:val="22"/>
              </w:rPr>
            </w:pPr>
            <w:r w:rsidRPr="00C8160B">
              <w:rPr>
                <w:rFonts w:ascii="Arial" w:hAnsi="Arial" w:cs="Arial"/>
                <w:color w:val="000000"/>
                <w:sz w:val="22"/>
                <w:szCs w:val="22"/>
              </w:rPr>
              <w:t>68</w:t>
            </w:r>
          </w:p>
        </w:tc>
      </w:tr>
      <w:tr w:rsidR="00BD4A49" w:rsidRPr="00C8160B" w:rsidTr="00BD4A49">
        <w:trPr>
          <w:trHeight w:val="499"/>
        </w:trPr>
        <w:tc>
          <w:tcPr>
            <w:tcW w:w="2958" w:type="dxa"/>
            <w:tcBorders>
              <w:top w:val="nil"/>
              <w:left w:val="single" w:sz="4" w:space="0" w:color="auto"/>
              <w:bottom w:val="single" w:sz="4" w:space="0" w:color="auto"/>
              <w:right w:val="single" w:sz="4" w:space="0" w:color="auto"/>
            </w:tcBorders>
            <w:shd w:val="clear" w:color="auto" w:fill="auto"/>
            <w:noWrap/>
            <w:vAlign w:val="center"/>
            <w:hideMark/>
          </w:tcPr>
          <w:p w:rsidR="00BD4A49" w:rsidRPr="00C8160B" w:rsidRDefault="00BD4A49" w:rsidP="003D297C">
            <w:pPr>
              <w:spacing w:line="360" w:lineRule="auto"/>
              <w:jc w:val="center"/>
              <w:rPr>
                <w:rFonts w:ascii="Arial" w:hAnsi="Arial" w:cs="Arial"/>
                <w:color w:val="000000"/>
                <w:sz w:val="22"/>
                <w:szCs w:val="22"/>
              </w:rPr>
            </w:pPr>
            <w:r w:rsidRPr="00C8160B">
              <w:rPr>
                <w:rFonts w:ascii="Arial" w:hAnsi="Arial" w:cs="Arial"/>
                <w:color w:val="000000"/>
                <w:sz w:val="22"/>
                <w:szCs w:val="22"/>
              </w:rPr>
              <w:t>Three Phase</w:t>
            </w:r>
          </w:p>
        </w:tc>
        <w:tc>
          <w:tcPr>
            <w:tcW w:w="3238" w:type="dxa"/>
            <w:tcBorders>
              <w:top w:val="nil"/>
              <w:left w:val="nil"/>
              <w:bottom w:val="single" w:sz="4" w:space="0" w:color="auto"/>
              <w:right w:val="single" w:sz="4" w:space="0" w:color="auto"/>
            </w:tcBorders>
            <w:shd w:val="clear" w:color="auto" w:fill="auto"/>
            <w:vAlign w:val="center"/>
            <w:hideMark/>
          </w:tcPr>
          <w:p w:rsidR="00BD4A49" w:rsidRPr="00C8160B" w:rsidRDefault="00BD4A49" w:rsidP="003D297C">
            <w:pPr>
              <w:spacing w:line="360" w:lineRule="auto"/>
              <w:jc w:val="center"/>
              <w:rPr>
                <w:rFonts w:ascii="Arial" w:hAnsi="Arial" w:cs="Arial"/>
                <w:color w:val="000000"/>
                <w:sz w:val="22"/>
                <w:szCs w:val="22"/>
              </w:rPr>
            </w:pPr>
            <w:r w:rsidRPr="00C8160B">
              <w:rPr>
                <w:rFonts w:ascii="Arial" w:hAnsi="Arial" w:cs="Arial"/>
                <w:color w:val="000000"/>
                <w:sz w:val="22"/>
                <w:szCs w:val="22"/>
              </w:rPr>
              <w:t>403</w:t>
            </w:r>
          </w:p>
        </w:tc>
        <w:tc>
          <w:tcPr>
            <w:tcW w:w="3238" w:type="dxa"/>
            <w:tcBorders>
              <w:top w:val="nil"/>
              <w:left w:val="nil"/>
              <w:bottom w:val="single" w:sz="4" w:space="0" w:color="auto"/>
              <w:right w:val="single" w:sz="4" w:space="0" w:color="auto"/>
            </w:tcBorders>
            <w:shd w:val="clear" w:color="auto" w:fill="auto"/>
            <w:noWrap/>
            <w:vAlign w:val="center"/>
            <w:hideMark/>
          </w:tcPr>
          <w:p w:rsidR="00BD4A49" w:rsidRPr="00C8160B" w:rsidRDefault="00BD4A49" w:rsidP="003D297C">
            <w:pPr>
              <w:spacing w:line="360" w:lineRule="auto"/>
              <w:jc w:val="center"/>
              <w:rPr>
                <w:rFonts w:ascii="Arial" w:hAnsi="Arial" w:cs="Arial"/>
                <w:color w:val="000000"/>
                <w:sz w:val="22"/>
                <w:szCs w:val="22"/>
              </w:rPr>
            </w:pPr>
            <w:r w:rsidRPr="00C8160B">
              <w:rPr>
                <w:rFonts w:ascii="Arial" w:hAnsi="Arial" w:cs="Arial"/>
                <w:color w:val="000000"/>
                <w:sz w:val="22"/>
                <w:szCs w:val="22"/>
              </w:rPr>
              <w:t>96</w:t>
            </w:r>
          </w:p>
        </w:tc>
      </w:tr>
    </w:tbl>
    <w:p w:rsidR="00BD4A49" w:rsidRPr="00C8160B" w:rsidRDefault="00BD4A49" w:rsidP="00BD4A49">
      <w:pPr>
        <w:autoSpaceDE w:val="0"/>
        <w:autoSpaceDN w:val="0"/>
        <w:adjustRightInd w:val="0"/>
        <w:spacing w:line="360" w:lineRule="auto"/>
        <w:jc w:val="both"/>
        <w:rPr>
          <w:rFonts w:ascii="Arial" w:hAnsi="Arial" w:cs="Arial"/>
          <w:sz w:val="22"/>
          <w:szCs w:val="22"/>
        </w:rPr>
      </w:pPr>
    </w:p>
    <w:p w:rsidR="00BD4A49" w:rsidRPr="00C8160B" w:rsidRDefault="00BD4A49" w:rsidP="00BD4A49">
      <w:pPr>
        <w:autoSpaceDE w:val="0"/>
        <w:autoSpaceDN w:val="0"/>
        <w:adjustRightInd w:val="0"/>
        <w:spacing w:line="360" w:lineRule="auto"/>
        <w:jc w:val="both"/>
        <w:rPr>
          <w:rFonts w:ascii="Arial" w:hAnsi="Arial" w:cs="Arial"/>
          <w:sz w:val="22"/>
          <w:szCs w:val="22"/>
        </w:rPr>
      </w:pPr>
      <w:r w:rsidRPr="00C8160B">
        <w:rPr>
          <w:rFonts w:ascii="Arial" w:hAnsi="Arial" w:cs="Arial"/>
          <w:sz w:val="22"/>
          <w:szCs w:val="22"/>
        </w:rPr>
        <w:t>Based on the above rate the total cost in NESCO, WESCO &amp; SOUTHCO for 4 years leasing period is as follows:</w:t>
      </w:r>
    </w:p>
    <w:tbl>
      <w:tblPr>
        <w:tblW w:w="0" w:type="auto"/>
        <w:jc w:val="right"/>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41"/>
        <w:gridCol w:w="2489"/>
        <w:gridCol w:w="1874"/>
        <w:gridCol w:w="4421"/>
      </w:tblGrid>
      <w:tr w:rsidR="00BD4A49" w:rsidRPr="00C8160B" w:rsidTr="00BD4A49">
        <w:trPr>
          <w:trHeight w:val="773"/>
          <w:jc w:val="right"/>
        </w:trPr>
        <w:tc>
          <w:tcPr>
            <w:tcW w:w="641"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Sl</w:t>
            </w:r>
          </w:p>
        </w:tc>
        <w:tc>
          <w:tcPr>
            <w:tcW w:w="2489"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Name of the DISCOM</w:t>
            </w:r>
          </w:p>
        </w:tc>
        <w:tc>
          <w:tcPr>
            <w:tcW w:w="1874"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Consumers</w:t>
            </w:r>
          </w:p>
        </w:tc>
        <w:tc>
          <w:tcPr>
            <w:tcW w:w="4421"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Total Cost for 4 yrs leasing Model (In Rs Crs)</w:t>
            </w:r>
          </w:p>
        </w:tc>
      </w:tr>
      <w:tr w:rsidR="00BD4A49" w:rsidRPr="00C8160B" w:rsidTr="00BD4A49">
        <w:trPr>
          <w:jc w:val="right"/>
        </w:trPr>
        <w:tc>
          <w:tcPr>
            <w:tcW w:w="641"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1</w:t>
            </w:r>
          </w:p>
        </w:tc>
        <w:tc>
          <w:tcPr>
            <w:tcW w:w="2489"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NESCO</w:t>
            </w:r>
          </w:p>
        </w:tc>
        <w:tc>
          <w:tcPr>
            <w:tcW w:w="1874"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5765</w:t>
            </w:r>
          </w:p>
        </w:tc>
        <w:tc>
          <w:tcPr>
            <w:tcW w:w="4421"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10.41</w:t>
            </w:r>
          </w:p>
        </w:tc>
      </w:tr>
      <w:tr w:rsidR="00BD4A49" w:rsidRPr="00C8160B" w:rsidTr="00BD4A49">
        <w:trPr>
          <w:jc w:val="right"/>
        </w:trPr>
        <w:tc>
          <w:tcPr>
            <w:tcW w:w="641"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2</w:t>
            </w:r>
          </w:p>
        </w:tc>
        <w:tc>
          <w:tcPr>
            <w:tcW w:w="2489"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WESCO</w:t>
            </w:r>
          </w:p>
        </w:tc>
        <w:tc>
          <w:tcPr>
            <w:tcW w:w="1874"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5025</w:t>
            </w:r>
          </w:p>
        </w:tc>
        <w:tc>
          <w:tcPr>
            <w:tcW w:w="4421"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9.56</w:t>
            </w:r>
          </w:p>
        </w:tc>
      </w:tr>
      <w:tr w:rsidR="00BD4A49" w:rsidRPr="00C8160B" w:rsidTr="00BD4A49">
        <w:trPr>
          <w:jc w:val="right"/>
        </w:trPr>
        <w:tc>
          <w:tcPr>
            <w:tcW w:w="641"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3</w:t>
            </w:r>
          </w:p>
        </w:tc>
        <w:tc>
          <w:tcPr>
            <w:tcW w:w="2489"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SOUTHCO</w:t>
            </w:r>
          </w:p>
        </w:tc>
        <w:tc>
          <w:tcPr>
            <w:tcW w:w="1874"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7055</w:t>
            </w:r>
          </w:p>
        </w:tc>
        <w:tc>
          <w:tcPr>
            <w:tcW w:w="4421"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14.77</w:t>
            </w:r>
          </w:p>
        </w:tc>
      </w:tr>
    </w:tbl>
    <w:p w:rsidR="00BD4A49" w:rsidRPr="00C8160B" w:rsidRDefault="00BD4A49" w:rsidP="00BD4A49">
      <w:pPr>
        <w:spacing w:line="360" w:lineRule="auto"/>
        <w:jc w:val="both"/>
        <w:rPr>
          <w:rFonts w:ascii="Arial" w:hAnsi="Arial" w:cs="Arial"/>
          <w:sz w:val="22"/>
          <w:szCs w:val="22"/>
        </w:rPr>
      </w:pPr>
    </w:p>
    <w:p w:rsidR="00BD4A49" w:rsidRPr="00C8160B" w:rsidRDefault="00BD4A49" w:rsidP="00BD4A49">
      <w:pPr>
        <w:spacing w:line="360" w:lineRule="auto"/>
        <w:jc w:val="both"/>
        <w:rPr>
          <w:rFonts w:ascii="Arial" w:hAnsi="Arial" w:cs="Arial"/>
          <w:sz w:val="22"/>
          <w:szCs w:val="22"/>
        </w:rPr>
      </w:pPr>
      <w:r w:rsidRPr="00C8160B">
        <w:rPr>
          <w:rFonts w:ascii="Arial" w:hAnsi="Arial" w:cs="Arial"/>
          <w:sz w:val="22"/>
          <w:szCs w:val="22"/>
        </w:rPr>
        <w:t>But as per the tariff order DISCOMs can only claim meter rent to consumer @ 50/- &amp; Rs 150/- for single phase &amp; three phase respectively. So total revenue generated through meter rent for 4 yrs is as follows:</w:t>
      </w:r>
    </w:p>
    <w:tbl>
      <w:tblPr>
        <w:tblW w:w="0" w:type="auto"/>
        <w:jc w:val="right"/>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42"/>
        <w:gridCol w:w="2487"/>
        <w:gridCol w:w="1873"/>
        <w:gridCol w:w="4423"/>
      </w:tblGrid>
      <w:tr w:rsidR="00BD4A49" w:rsidRPr="00C8160B" w:rsidTr="00BD4A49">
        <w:trPr>
          <w:jc w:val="right"/>
        </w:trPr>
        <w:tc>
          <w:tcPr>
            <w:tcW w:w="642"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Sl</w:t>
            </w:r>
          </w:p>
        </w:tc>
        <w:tc>
          <w:tcPr>
            <w:tcW w:w="2487"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Name of the DISCOM</w:t>
            </w:r>
          </w:p>
        </w:tc>
        <w:tc>
          <w:tcPr>
            <w:tcW w:w="1873"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Consumers</w:t>
            </w:r>
          </w:p>
        </w:tc>
        <w:tc>
          <w:tcPr>
            <w:tcW w:w="4423"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Total meter rent recovered in  4 yrs (In Rs Crs)</w:t>
            </w:r>
          </w:p>
        </w:tc>
      </w:tr>
      <w:tr w:rsidR="00BD4A49" w:rsidRPr="00C8160B" w:rsidTr="00BD4A49">
        <w:trPr>
          <w:jc w:val="right"/>
        </w:trPr>
        <w:tc>
          <w:tcPr>
            <w:tcW w:w="642"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1</w:t>
            </w:r>
          </w:p>
        </w:tc>
        <w:tc>
          <w:tcPr>
            <w:tcW w:w="2487"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NESCO</w:t>
            </w:r>
          </w:p>
        </w:tc>
        <w:tc>
          <w:tcPr>
            <w:tcW w:w="1873"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5765</w:t>
            </w:r>
          </w:p>
        </w:tc>
        <w:tc>
          <w:tcPr>
            <w:tcW w:w="4423"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2.36</w:t>
            </w:r>
          </w:p>
        </w:tc>
      </w:tr>
      <w:tr w:rsidR="00BD4A49" w:rsidRPr="00C8160B" w:rsidTr="00BD4A49">
        <w:trPr>
          <w:jc w:val="right"/>
        </w:trPr>
        <w:tc>
          <w:tcPr>
            <w:tcW w:w="642"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2</w:t>
            </w:r>
          </w:p>
        </w:tc>
        <w:tc>
          <w:tcPr>
            <w:tcW w:w="2487"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WESCO</w:t>
            </w:r>
          </w:p>
        </w:tc>
        <w:tc>
          <w:tcPr>
            <w:tcW w:w="1873"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5025</w:t>
            </w:r>
          </w:p>
        </w:tc>
        <w:tc>
          <w:tcPr>
            <w:tcW w:w="4423"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2.31</w:t>
            </w:r>
          </w:p>
        </w:tc>
      </w:tr>
      <w:tr w:rsidR="00BD4A49" w:rsidRPr="00C8160B" w:rsidTr="00BD4A49">
        <w:trPr>
          <w:jc w:val="right"/>
        </w:trPr>
        <w:tc>
          <w:tcPr>
            <w:tcW w:w="642"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3</w:t>
            </w:r>
          </w:p>
        </w:tc>
        <w:tc>
          <w:tcPr>
            <w:tcW w:w="2487"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SOUTHCO</w:t>
            </w:r>
          </w:p>
        </w:tc>
        <w:tc>
          <w:tcPr>
            <w:tcW w:w="1873"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7055</w:t>
            </w:r>
          </w:p>
        </w:tc>
        <w:tc>
          <w:tcPr>
            <w:tcW w:w="4423"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3.96</w:t>
            </w:r>
          </w:p>
        </w:tc>
      </w:tr>
    </w:tbl>
    <w:p w:rsidR="00BD4A49" w:rsidRPr="00C8160B" w:rsidRDefault="00BD4A49" w:rsidP="00BD4A49">
      <w:pPr>
        <w:spacing w:line="360" w:lineRule="auto"/>
        <w:jc w:val="both"/>
        <w:rPr>
          <w:rFonts w:ascii="Arial" w:hAnsi="Arial" w:cs="Arial"/>
          <w:sz w:val="22"/>
          <w:szCs w:val="22"/>
        </w:rPr>
      </w:pPr>
    </w:p>
    <w:p w:rsidR="00BD4A49" w:rsidRPr="00C8160B" w:rsidRDefault="00BD4A49" w:rsidP="00BD4A49">
      <w:pPr>
        <w:spacing w:line="360" w:lineRule="auto"/>
        <w:jc w:val="both"/>
        <w:rPr>
          <w:rFonts w:ascii="Arial" w:hAnsi="Arial" w:cs="Arial"/>
          <w:sz w:val="22"/>
          <w:szCs w:val="22"/>
        </w:rPr>
      </w:pPr>
      <w:r w:rsidRPr="00C8160B">
        <w:rPr>
          <w:rFonts w:ascii="Arial" w:hAnsi="Arial" w:cs="Arial"/>
          <w:sz w:val="22"/>
          <w:szCs w:val="22"/>
        </w:rPr>
        <w:t>Comparing Vendor leasing cost for 4 years &amp; revenue collected through the meter rent , There is a huge revenue deficit in three DISCOMs as mentioned below:</w:t>
      </w:r>
    </w:p>
    <w:tbl>
      <w:tblPr>
        <w:tblW w:w="0" w:type="auto"/>
        <w:jc w:val="right"/>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4"/>
        <w:gridCol w:w="1843"/>
        <w:gridCol w:w="2265"/>
        <w:gridCol w:w="2187"/>
        <w:gridCol w:w="2606"/>
      </w:tblGrid>
      <w:tr w:rsidR="00BD4A49" w:rsidRPr="00C8160B" w:rsidTr="00BD4A49">
        <w:trPr>
          <w:trHeight w:val="1151"/>
          <w:jc w:val="right"/>
        </w:trPr>
        <w:tc>
          <w:tcPr>
            <w:tcW w:w="524"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Sl</w:t>
            </w:r>
          </w:p>
        </w:tc>
        <w:tc>
          <w:tcPr>
            <w:tcW w:w="1843"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Name of the DISCOM</w:t>
            </w:r>
          </w:p>
        </w:tc>
        <w:tc>
          <w:tcPr>
            <w:tcW w:w="2265"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Total Cost for 4 yrs leasing Model (In Rs Crs)</w:t>
            </w:r>
          </w:p>
        </w:tc>
        <w:tc>
          <w:tcPr>
            <w:tcW w:w="2187"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Total meter rent recovered in  4 yrs (In Rs Crs)</w:t>
            </w:r>
          </w:p>
        </w:tc>
        <w:tc>
          <w:tcPr>
            <w:tcW w:w="2606"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Revenue gaps (in Crs)</w:t>
            </w:r>
          </w:p>
        </w:tc>
      </w:tr>
      <w:tr w:rsidR="00BD4A49" w:rsidRPr="00C8160B" w:rsidTr="00BD4A49">
        <w:trPr>
          <w:jc w:val="right"/>
        </w:trPr>
        <w:tc>
          <w:tcPr>
            <w:tcW w:w="524"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1</w:t>
            </w:r>
          </w:p>
        </w:tc>
        <w:tc>
          <w:tcPr>
            <w:tcW w:w="1843"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NESCO</w:t>
            </w:r>
          </w:p>
        </w:tc>
        <w:tc>
          <w:tcPr>
            <w:tcW w:w="2265"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10.41</w:t>
            </w:r>
          </w:p>
        </w:tc>
        <w:tc>
          <w:tcPr>
            <w:tcW w:w="2187"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2.36</w:t>
            </w:r>
          </w:p>
        </w:tc>
        <w:tc>
          <w:tcPr>
            <w:tcW w:w="2606"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8.05</w:t>
            </w:r>
          </w:p>
        </w:tc>
      </w:tr>
      <w:tr w:rsidR="00BD4A49" w:rsidRPr="00C8160B" w:rsidTr="00BD4A49">
        <w:trPr>
          <w:jc w:val="right"/>
        </w:trPr>
        <w:tc>
          <w:tcPr>
            <w:tcW w:w="524"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2</w:t>
            </w:r>
          </w:p>
        </w:tc>
        <w:tc>
          <w:tcPr>
            <w:tcW w:w="1843"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WESCO</w:t>
            </w:r>
          </w:p>
        </w:tc>
        <w:tc>
          <w:tcPr>
            <w:tcW w:w="2265"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9.56</w:t>
            </w:r>
          </w:p>
        </w:tc>
        <w:tc>
          <w:tcPr>
            <w:tcW w:w="2187"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2.31</w:t>
            </w:r>
          </w:p>
        </w:tc>
        <w:tc>
          <w:tcPr>
            <w:tcW w:w="2606"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7.25</w:t>
            </w:r>
          </w:p>
        </w:tc>
      </w:tr>
      <w:tr w:rsidR="00BD4A49" w:rsidRPr="00C8160B" w:rsidTr="00BD4A49">
        <w:trPr>
          <w:jc w:val="right"/>
        </w:trPr>
        <w:tc>
          <w:tcPr>
            <w:tcW w:w="524"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3</w:t>
            </w:r>
          </w:p>
        </w:tc>
        <w:tc>
          <w:tcPr>
            <w:tcW w:w="1843"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SOUTHCO</w:t>
            </w:r>
          </w:p>
        </w:tc>
        <w:tc>
          <w:tcPr>
            <w:tcW w:w="2265"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14.77</w:t>
            </w:r>
          </w:p>
        </w:tc>
        <w:tc>
          <w:tcPr>
            <w:tcW w:w="2187"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3.96</w:t>
            </w:r>
          </w:p>
        </w:tc>
        <w:tc>
          <w:tcPr>
            <w:tcW w:w="2606" w:type="dxa"/>
          </w:tcPr>
          <w:p w:rsidR="00BD4A49" w:rsidRPr="00C8160B" w:rsidRDefault="00BD4A49" w:rsidP="003D297C">
            <w:pPr>
              <w:spacing w:line="360" w:lineRule="auto"/>
              <w:jc w:val="center"/>
              <w:rPr>
                <w:rFonts w:ascii="Arial" w:hAnsi="Arial" w:cs="Arial"/>
                <w:sz w:val="22"/>
                <w:szCs w:val="22"/>
              </w:rPr>
            </w:pPr>
            <w:r w:rsidRPr="00C8160B">
              <w:rPr>
                <w:rFonts w:ascii="Arial" w:hAnsi="Arial" w:cs="Arial"/>
                <w:sz w:val="22"/>
                <w:szCs w:val="22"/>
              </w:rPr>
              <w:t>10.81</w:t>
            </w:r>
          </w:p>
        </w:tc>
      </w:tr>
    </w:tbl>
    <w:p w:rsidR="00BD4A49" w:rsidRPr="000A4624" w:rsidRDefault="00BD4A49" w:rsidP="00BD4A49">
      <w:pPr>
        <w:pStyle w:val="ListParagraph"/>
        <w:ind w:left="0"/>
        <w:jc w:val="both"/>
        <w:rPr>
          <w:rFonts w:cs="Calibri"/>
        </w:rPr>
      </w:pPr>
    </w:p>
    <w:p w:rsidR="00444C43" w:rsidRPr="00AA1BD0" w:rsidRDefault="00444C43" w:rsidP="00CF66A5">
      <w:pPr>
        <w:pStyle w:val="Heading1"/>
        <w:numPr>
          <w:ilvl w:val="1"/>
          <w:numId w:val="49"/>
        </w:numPr>
        <w:spacing w:line="360" w:lineRule="auto"/>
        <w:jc w:val="both"/>
        <w:rPr>
          <w:sz w:val="22"/>
          <w:szCs w:val="22"/>
        </w:rPr>
      </w:pPr>
      <w:bookmarkStart w:id="93" w:name="_Toc310319964"/>
      <w:bookmarkStart w:id="94" w:name="_Toc404940194"/>
      <w:r w:rsidRPr="00AA1BD0">
        <w:rPr>
          <w:sz w:val="22"/>
          <w:szCs w:val="22"/>
        </w:rPr>
        <w:lastRenderedPageBreak/>
        <w:t>C</w:t>
      </w:r>
      <w:bookmarkEnd w:id="93"/>
      <w:r w:rsidR="009F34C7" w:rsidRPr="00AA1BD0">
        <w:rPr>
          <w:sz w:val="22"/>
          <w:szCs w:val="22"/>
        </w:rPr>
        <w:t>onsumer Indexing</w:t>
      </w:r>
      <w:bookmarkEnd w:id="94"/>
    </w:p>
    <w:p w:rsidR="00444C43" w:rsidRPr="00AA1BD0" w:rsidRDefault="00444C43" w:rsidP="00BE091A">
      <w:pPr>
        <w:pStyle w:val="NoSpacing"/>
        <w:rPr>
          <w:rFonts w:ascii="Arial" w:hAnsi="Arial" w:cs="Arial"/>
          <w:highlight w:val="yellow"/>
        </w:rPr>
      </w:pPr>
    </w:p>
    <w:p w:rsidR="00444C43" w:rsidRPr="00AA1BD0" w:rsidRDefault="00816D9A" w:rsidP="00444C43">
      <w:pPr>
        <w:spacing w:line="360" w:lineRule="auto"/>
        <w:jc w:val="both"/>
        <w:rPr>
          <w:rFonts w:ascii="Arial" w:hAnsi="Arial" w:cs="Arial"/>
          <w:sz w:val="22"/>
          <w:szCs w:val="22"/>
        </w:rPr>
      </w:pPr>
      <w:r w:rsidRPr="00AA1BD0">
        <w:rPr>
          <w:rFonts w:ascii="Arial" w:hAnsi="Arial" w:cs="Arial"/>
          <w:sz w:val="22"/>
          <w:szCs w:val="22"/>
        </w:rPr>
        <w:t>N</w:t>
      </w:r>
      <w:r w:rsidR="00444C43" w:rsidRPr="00AA1BD0">
        <w:rPr>
          <w:rFonts w:ascii="Arial" w:hAnsi="Arial" w:cs="Arial"/>
          <w:sz w:val="22"/>
          <w:szCs w:val="22"/>
        </w:rPr>
        <w:t>ESCO, although initiated the process of consumer indexing, could not implemented the same due</w:t>
      </w:r>
      <w:r w:rsidRPr="00AA1BD0">
        <w:rPr>
          <w:rFonts w:ascii="Arial" w:hAnsi="Arial" w:cs="Arial"/>
          <w:sz w:val="22"/>
          <w:szCs w:val="22"/>
        </w:rPr>
        <w:t xml:space="preserve"> to lack of funding. This year NESCO submitted the expenses</w:t>
      </w:r>
      <w:r w:rsidR="00444C43" w:rsidRPr="00AA1BD0">
        <w:rPr>
          <w:rFonts w:ascii="Arial" w:hAnsi="Arial" w:cs="Arial"/>
          <w:sz w:val="22"/>
          <w:szCs w:val="22"/>
        </w:rPr>
        <w:t xml:space="preserve"> in the head of Admn and general expenses and shall implement the consumer indexing on approval the expenses. The POA for implementing the Consumer indexing is given below.</w:t>
      </w:r>
    </w:p>
    <w:p w:rsidR="00444C43" w:rsidRPr="00AA1BD0" w:rsidRDefault="00444C43" w:rsidP="00444C43">
      <w:pPr>
        <w:spacing w:line="360" w:lineRule="auto"/>
        <w:jc w:val="both"/>
        <w:rPr>
          <w:rFonts w:ascii="Arial" w:hAnsi="Arial" w:cs="Arial"/>
          <w:sz w:val="22"/>
          <w:szCs w:val="22"/>
        </w:rPr>
      </w:pPr>
      <w:r w:rsidRPr="00AA1BD0">
        <w:rPr>
          <w:rFonts w:ascii="Arial" w:hAnsi="Arial" w:cs="Arial"/>
          <w:sz w:val="22"/>
          <w:szCs w:val="22"/>
        </w:rPr>
        <w:t>The Consumer Indexing would be a one time activity aimed to identify all the existing consumers receiving supply from individual Distribution Transformer and creation of network diagrams and asset details with an arrangement for regular updation in future. This will involve door to door survey so as to identify consumers receiving electrical supply from each DTR, preparation of LT line network diagram, preferably with GIS, and building database of DTR wise consumer indexing. The activities will include the following</w:t>
      </w:r>
    </w:p>
    <w:p w:rsidR="00444C43" w:rsidRPr="00AA1BD0" w:rsidRDefault="00444C43" w:rsidP="00B04A3F">
      <w:pPr>
        <w:numPr>
          <w:ilvl w:val="0"/>
          <w:numId w:val="7"/>
        </w:numPr>
        <w:spacing w:before="120" w:after="120" w:line="360" w:lineRule="auto"/>
        <w:jc w:val="both"/>
        <w:rPr>
          <w:rFonts w:ascii="Arial" w:hAnsi="Arial" w:cs="Arial"/>
          <w:b/>
          <w:sz w:val="22"/>
          <w:szCs w:val="22"/>
        </w:rPr>
      </w:pPr>
      <w:r w:rsidRPr="00AA1BD0">
        <w:rPr>
          <w:rFonts w:ascii="Arial" w:hAnsi="Arial" w:cs="Arial"/>
          <w:b/>
          <w:sz w:val="22"/>
          <w:szCs w:val="22"/>
        </w:rPr>
        <w:t>Consumer &amp; Network survey:</w:t>
      </w:r>
    </w:p>
    <w:p w:rsidR="00444C43" w:rsidRPr="00AA1BD0" w:rsidRDefault="00444C43" w:rsidP="00B04A3F">
      <w:pPr>
        <w:numPr>
          <w:ilvl w:val="0"/>
          <w:numId w:val="6"/>
        </w:numPr>
        <w:spacing w:before="120" w:after="120" w:line="360" w:lineRule="auto"/>
        <w:jc w:val="both"/>
        <w:rPr>
          <w:rFonts w:ascii="Arial" w:hAnsi="Arial" w:cs="Arial"/>
          <w:sz w:val="22"/>
          <w:szCs w:val="22"/>
        </w:rPr>
      </w:pPr>
      <w:r w:rsidRPr="00AA1BD0">
        <w:rPr>
          <w:rFonts w:ascii="Arial" w:hAnsi="Arial" w:cs="Arial"/>
          <w:sz w:val="22"/>
          <w:szCs w:val="22"/>
        </w:rPr>
        <w:t>Door-to door survey for identification of all consumers connected to each DT separately which will include gathering of information related to the consumer and meter details, details of landmark to identify DTR and Pole location.</w:t>
      </w:r>
    </w:p>
    <w:p w:rsidR="00444C43" w:rsidRPr="00AA1BD0" w:rsidRDefault="00444C43" w:rsidP="00B04A3F">
      <w:pPr>
        <w:numPr>
          <w:ilvl w:val="0"/>
          <w:numId w:val="6"/>
        </w:numPr>
        <w:spacing w:before="120" w:after="120" w:line="360" w:lineRule="auto"/>
        <w:jc w:val="both"/>
        <w:rPr>
          <w:rFonts w:ascii="Arial" w:hAnsi="Arial" w:cs="Arial"/>
          <w:sz w:val="22"/>
          <w:szCs w:val="22"/>
        </w:rPr>
      </w:pPr>
      <w:r w:rsidRPr="00AA1BD0">
        <w:rPr>
          <w:rFonts w:ascii="Arial" w:hAnsi="Arial" w:cs="Arial"/>
          <w:sz w:val="22"/>
          <w:szCs w:val="22"/>
        </w:rPr>
        <w:t>Electrical addressing through pole scheduling of all consumers.</w:t>
      </w:r>
    </w:p>
    <w:p w:rsidR="00444C43" w:rsidRPr="00AA1BD0" w:rsidRDefault="00444C43" w:rsidP="00B04A3F">
      <w:pPr>
        <w:numPr>
          <w:ilvl w:val="0"/>
          <w:numId w:val="6"/>
        </w:numPr>
        <w:spacing w:before="120" w:after="120" w:line="360" w:lineRule="auto"/>
        <w:jc w:val="both"/>
        <w:rPr>
          <w:rFonts w:ascii="Arial" w:hAnsi="Arial" w:cs="Arial"/>
          <w:sz w:val="22"/>
          <w:szCs w:val="22"/>
        </w:rPr>
      </w:pPr>
      <w:r w:rsidRPr="00AA1BD0">
        <w:rPr>
          <w:rFonts w:ascii="Arial" w:hAnsi="Arial" w:cs="Arial"/>
          <w:sz w:val="22"/>
          <w:szCs w:val="22"/>
        </w:rPr>
        <w:t>Preparation of network details viz. 11 KV Feeder, DTR (capacity, location etc.), LT circuits (conductor size, line configuration- horizontal/ vertical- single phase 2wire/ 3wire, 3phase 4wire/ 5wire, span size etc.), Pole type and no. of services from each pole.</w:t>
      </w:r>
    </w:p>
    <w:p w:rsidR="00444C43" w:rsidRPr="00AA1BD0" w:rsidRDefault="00444C43" w:rsidP="00B04A3F">
      <w:pPr>
        <w:numPr>
          <w:ilvl w:val="0"/>
          <w:numId w:val="7"/>
        </w:numPr>
        <w:spacing w:before="120" w:after="120" w:line="360" w:lineRule="auto"/>
        <w:jc w:val="both"/>
        <w:rPr>
          <w:rFonts w:ascii="Arial" w:hAnsi="Arial" w:cs="Arial"/>
          <w:b/>
          <w:sz w:val="22"/>
          <w:szCs w:val="22"/>
        </w:rPr>
      </w:pPr>
      <w:r w:rsidRPr="00AA1BD0">
        <w:rPr>
          <w:rFonts w:ascii="Arial" w:hAnsi="Arial" w:cs="Arial"/>
          <w:b/>
          <w:sz w:val="22"/>
          <w:szCs w:val="22"/>
        </w:rPr>
        <w:t xml:space="preserve">Building database and Indexing of Consumer: </w:t>
      </w:r>
    </w:p>
    <w:p w:rsidR="00444C43" w:rsidRPr="00AA1BD0" w:rsidRDefault="00444C43" w:rsidP="00B04A3F">
      <w:pPr>
        <w:numPr>
          <w:ilvl w:val="0"/>
          <w:numId w:val="6"/>
        </w:numPr>
        <w:spacing w:before="120" w:after="120" w:line="360" w:lineRule="auto"/>
        <w:jc w:val="both"/>
        <w:rPr>
          <w:rFonts w:ascii="Arial" w:hAnsi="Arial" w:cs="Arial"/>
          <w:sz w:val="22"/>
          <w:szCs w:val="22"/>
        </w:rPr>
      </w:pPr>
      <w:r w:rsidRPr="00AA1BD0">
        <w:rPr>
          <w:rFonts w:ascii="Arial" w:hAnsi="Arial" w:cs="Arial"/>
          <w:sz w:val="22"/>
          <w:szCs w:val="22"/>
        </w:rPr>
        <w:t>Development of a consumer data base as a backup to a GIS facility which will include indexing a consumer to the DTR’s and 11 KV feeders allocating an alphanumerical code to each consumer following approved coding structure from the DISCOMs.</w:t>
      </w:r>
    </w:p>
    <w:p w:rsidR="00444C43" w:rsidRPr="00AA1BD0" w:rsidRDefault="00444C43" w:rsidP="00B04A3F">
      <w:pPr>
        <w:numPr>
          <w:ilvl w:val="0"/>
          <w:numId w:val="6"/>
        </w:numPr>
        <w:spacing w:before="120" w:after="120" w:line="360" w:lineRule="auto"/>
        <w:jc w:val="both"/>
        <w:rPr>
          <w:rFonts w:ascii="Arial" w:hAnsi="Arial" w:cs="Arial"/>
          <w:sz w:val="22"/>
          <w:szCs w:val="22"/>
        </w:rPr>
      </w:pPr>
      <w:r w:rsidRPr="00AA1BD0">
        <w:rPr>
          <w:rFonts w:ascii="Arial" w:hAnsi="Arial" w:cs="Arial"/>
          <w:sz w:val="22"/>
          <w:szCs w:val="22"/>
        </w:rPr>
        <w:t xml:space="preserve"> Development of software tools for viewing consumer details, network details, DTR details etc. with various summaries and linked information with facilities for editing, modifying any data relating to consumer, network, at a later stage according to changes taking place.</w:t>
      </w:r>
    </w:p>
    <w:p w:rsidR="00444C43" w:rsidRPr="00AA1BD0" w:rsidRDefault="00444C43" w:rsidP="00B04A3F">
      <w:pPr>
        <w:numPr>
          <w:ilvl w:val="0"/>
          <w:numId w:val="7"/>
        </w:numPr>
        <w:spacing w:before="120" w:after="120" w:line="360" w:lineRule="auto"/>
        <w:jc w:val="both"/>
        <w:rPr>
          <w:rFonts w:ascii="Arial" w:hAnsi="Arial" w:cs="Arial"/>
          <w:b/>
          <w:sz w:val="22"/>
          <w:szCs w:val="22"/>
        </w:rPr>
      </w:pPr>
      <w:r w:rsidRPr="00AA1BD0">
        <w:rPr>
          <w:rFonts w:ascii="Arial" w:hAnsi="Arial" w:cs="Arial"/>
          <w:b/>
          <w:sz w:val="22"/>
          <w:szCs w:val="22"/>
        </w:rPr>
        <w:t>Painting of Electrical address on Poles, DTR and at consumers premises:</w:t>
      </w:r>
    </w:p>
    <w:p w:rsidR="00444C43" w:rsidRPr="00AA1BD0" w:rsidRDefault="00444C43" w:rsidP="00B04A3F">
      <w:pPr>
        <w:numPr>
          <w:ilvl w:val="0"/>
          <w:numId w:val="6"/>
        </w:numPr>
        <w:spacing w:before="120" w:after="120" w:line="360" w:lineRule="auto"/>
        <w:jc w:val="both"/>
        <w:rPr>
          <w:rFonts w:ascii="Arial" w:hAnsi="Arial" w:cs="Arial"/>
          <w:sz w:val="22"/>
          <w:szCs w:val="22"/>
        </w:rPr>
      </w:pPr>
      <w:r w:rsidRPr="00AA1BD0">
        <w:rPr>
          <w:rFonts w:ascii="Arial" w:hAnsi="Arial" w:cs="Arial"/>
          <w:sz w:val="22"/>
          <w:szCs w:val="22"/>
        </w:rPr>
        <w:t xml:space="preserve">Based upon indexing, the electrical address comprising details of 11 KV Feeder, DTR, LT circuit, pole no. and consumer from the pole will be painted on each pole (using two colours-one for base and other for code writing) based on </w:t>
      </w:r>
      <w:r w:rsidRPr="00AA1BD0">
        <w:rPr>
          <w:rFonts w:ascii="Arial" w:hAnsi="Arial" w:cs="Arial"/>
          <w:sz w:val="22"/>
          <w:szCs w:val="22"/>
        </w:rPr>
        <w:lastRenderedPageBreak/>
        <w:t>approved codification scheme and painting norms. The details of 11 KV feeder and DTR will be painted on the DTR structure. The electrical address of each consumer will also to be painted at the respective consumer’s premises as well.</w:t>
      </w:r>
    </w:p>
    <w:p w:rsidR="00B91F1C" w:rsidRPr="00AA1BD0" w:rsidRDefault="00824DF2" w:rsidP="00CF66A5">
      <w:pPr>
        <w:pStyle w:val="Heading1"/>
        <w:numPr>
          <w:ilvl w:val="0"/>
          <w:numId w:val="49"/>
        </w:numPr>
        <w:spacing w:line="360" w:lineRule="auto"/>
        <w:jc w:val="both"/>
        <w:rPr>
          <w:sz w:val="22"/>
          <w:szCs w:val="22"/>
        </w:rPr>
      </w:pPr>
      <w:bookmarkStart w:id="95" w:name="_Toc404940195"/>
      <w:r w:rsidRPr="00AA1BD0">
        <w:rPr>
          <w:sz w:val="22"/>
          <w:szCs w:val="22"/>
        </w:rPr>
        <w:t>ISSUES &amp; CONCERNS</w:t>
      </w:r>
      <w:bookmarkEnd w:id="95"/>
    </w:p>
    <w:p w:rsidR="00DB454F" w:rsidRPr="00AA1BD0" w:rsidRDefault="00DB454F" w:rsidP="00CF66A5">
      <w:pPr>
        <w:pStyle w:val="Heading1"/>
        <w:numPr>
          <w:ilvl w:val="1"/>
          <w:numId w:val="49"/>
        </w:numPr>
        <w:spacing w:line="360" w:lineRule="auto"/>
        <w:jc w:val="both"/>
        <w:rPr>
          <w:sz w:val="22"/>
          <w:szCs w:val="22"/>
        </w:rPr>
      </w:pPr>
      <w:bookmarkStart w:id="96" w:name="_Toc404940196"/>
      <w:bookmarkStart w:id="97" w:name="_Toc403668717"/>
      <w:r w:rsidRPr="00AA1BD0">
        <w:rPr>
          <w:sz w:val="22"/>
          <w:szCs w:val="22"/>
        </w:rPr>
        <w:t>Escrow Relaxation:</w:t>
      </w:r>
      <w:bookmarkEnd w:id="96"/>
    </w:p>
    <w:p w:rsidR="00D72201" w:rsidRPr="00D72201" w:rsidRDefault="00D72201" w:rsidP="00D72201">
      <w:pPr>
        <w:pStyle w:val="ListParagraph"/>
        <w:ind w:left="360"/>
        <w:rPr>
          <w:rFonts w:ascii="Arial" w:hAnsi="Arial" w:cs="Arial"/>
        </w:rPr>
      </w:pPr>
      <w:r w:rsidRPr="00D72201">
        <w:rPr>
          <w:rFonts w:ascii="Arial" w:hAnsi="Arial" w:cs="Arial"/>
        </w:rPr>
        <w:t>Hon’ble Commission at para-397 &amp; 398 of the Order dated 22.03.2014 has fixed the priority for relexation of funds from the Escrow accounts with GRIDCO . The relevant paras are reproduced as under;</w:t>
      </w:r>
    </w:p>
    <w:p w:rsidR="00D72201" w:rsidRPr="00D72201" w:rsidRDefault="00D72201" w:rsidP="00D72201">
      <w:pPr>
        <w:pStyle w:val="ListParagraph"/>
        <w:ind w:left="360"/>
        <w:rPr>
          <w:rFonts w:ascii="Arial" w:hAnsi="Arial" w:cs="Arial"/>
        </w:rPr>
      </w:pPr>
      <w:r w:rsidRPr="00D72201">
        <w:rPr>
          <w:rFonts w:ascii="Arial" w:hAnsi="Arial" w:cs="Arial"/>
        </w:rPr>
        <w:tab/>
        <w:t>“397. From Current Revenue</w:t>
      </w:r>
    </w:p>
    <w:p w:rsidR="00D72201" w:rsidRPr="00D72201" w:rsidRDefault="00D72201" w:rsidP="00D72201">
      <w:pPr>
        <w:pStyle w:val="ListParagraph"/>
        <w:ind w:left="360"/>
        <w:jc w:val="both"/>
        <w:rPr>
          <w:rFonts w:ascii="Arial" w:hAnsi="Arial" w:cs="Arial"/>
          <w:i/>
          <w:iCs/>
          <w:color w:val="000000"/>
        </w:rPr>
      </w:pPr>
      <w:r w:rsidRPr="00D72201">
        <w:rPr>
          <w:rFonts w:ascii="Arial" w:hAnsi="Arial" w:cs="Arial"/>
          <w:i/>
          <w:iCs/>
          <w:color w:val="000000"/>
        </w:rPr>
        <w:t>(a) Annual License Fees to be paid by DISCOMs to OERC in full by 10th April every year as per the Clause 31.1 of the License Condition of DISCOMs.</w:t>
      </w:r>
    </w:p>
    <w:p w:rsidR="00D72201" w:rsidRPr="00D72201" w:rsidRDefault="00D72201" w:rsidP="00D72201">
      <w:pPr>
        <w:pStyle w:val="ListParagraph"/>
        <w:ind w:left="360"/>
        <w:jc w:val="both"/>
        <w:rPr>
          <w:rFonts w:ascii="Arial" w:hAnsi="Arial" w:cs="Arial"/>
          <w:i/>
          <w:iCs/>
          <w:color w:val="000000"/>
        </w:rPr>
      </w:pPr>
    </w:p>
    <w:p w:rsidR="00D72201" w:rsidRPr="00D72201" w:rsidRDefault="00D72201" w:rsidP="00D72201">
      <w:pPr>
        <w:pStyle w:val="ListParagraph"/>
        <w:ind w:left="360"/>
        <w:jc w:val="both"/>
        <w:rPr>
          <w:rFonts w:ascii="Arial" w:hAnsi="Arial" w:cs="Arial"/>
          <w:i/>
          <w:iCs/>
          <w:color w:val="000000"/>
        </w:rPr>
      </w:pPr>
      <w:r w:rsidRPr="00D72201">
        <w:rPr>
          <w:rFonts w:ascii="Arial" w:hAnsi="Arial" w:cs="Arial"/>
          <w:i/>
          <w:iCs/>
          <w:color w:val="000000"/>
        </w:rPr>
        <w:t>(b) (i) Transmission charges, BSP dues, SLDC charges of the current month of the current financial year, (ii) the unpaid amount of transmission charges, BSP dues and SLDC charges of any previous months of the current financial year, (iii) the energy bill of DISCOMs in respect of direct power purchase from CGPs or other agencies, if any and any other charges approved by the Commission from time to time.</w:t>
      </w:r>
    </w:p>
    <w:p w:rsidR="00D72201" w:rsidRPr="00D72201" w:rsidRDefault="00D72201" w:rsidP="00D72201">
      <w:pPr>
        <w:pStyle w:val="ListParagraph"/>
        <w:ind w:left="360"/>
        <w:jc w:val="both"/>
        <w:rPr>
          <w:rFonts w:ascii="Arial" w:hAnsi="Arial" w:cs="Arial"/>
          <w:i/>
          <w:iCs/>
          <w:color w:val="000000"/>
        </w:rPr>
      </w:pPr>
    </w:p>
    <w:p w:rsidR="00D72201" w:rsidRPr="00D72201" w:rsidRDefault="00D72201" w:rsidP="00D72201">
      <w:pPr>
        <w:pStyle w:val="ListParagraph"/>
        <w:ind w:left="360"/>
        <w:jc w:val="both"/>
        <w:rPr>
          <w:rFonts w:ascii="Arial" w:hAnsi="Arial" w:cs="Arial"/>
          <w:i/>
          <w:iCs/>
          <w:color w:val="000000"/>
        </w:rPr>
      </w:pPr>
      <w:r w:rsidRPr="00D72201">
        <w:rPr>
          <w:rFonts w:ascii="Arial" w:hAnsi="Arial" w:cs="Arial"/>
          <w:i/>
          <w:iCs/>
          <w:color w:val="000000"/>
        </w:rPr>
        <w:t>(c) Monthly Special R&amp;M expenditure under Commission monitored Smart Metering, Energy Audit Schemes and SCADA centers, as approved by the Commission in the tariff order from FY 2014-15 onwards. The relaxation for successive months would be done only after submission of monthly progress report by DISCOMs to the Commission and GRIDCO.</w:t>
      </w:r>
    </w:p>
    <w:p w:rsidR="00D72201" w:rsidRPr="00D72201" w:rsidRDefault="00D72201" w:rsidP="00D72201">
      <w:pPr>
        <w:pStyle w:val="ListParagraph"/>
        <w:ind w:left="360"/>
        <w:jc w:val="both"/>
        <w:rPr>
          <w:rFonts w:ascii="Arial" w:hAnsi="Arial" w:cs="Arial"/>
          <w:i/>
          <w:iCs/>
          <w:color w:val="000000"/>
        </w:rPr>
      </w:pPr>
    </w:p>
    <w:p w:rsidR="00D72201" w:rsidRPr="00D72201" w:rsidRDefault="00D72201" w:rsidP="00D72201">
      <w:pPr>
        <w:pStyle w:val="ListParagraph"/>
        <w:ind w:left="360"/>
        <w:jc w:val="both"/>
        <w:rPr>
          <w:rFonts w:ascii="Arial" w:hAnsi="Arial" w:cs="Arial"/>
          <w:i/>
          <w:iCs/>
          <w:color w:val="000000"/>
        </w:rPr>
      </w:pPr>
      <w:r w:rsidRPr="00D72201">
        <w:rPr>
          <w:rFonts w:ascii="Arial" w:hAnsi="Arial" w:cs="Arial"/>
          <w:i/>
          <w:iCs/>
          <w:color w:val="000000"/>
        </w:rPr>
        <w:t>(d) Monthly R&amp;M expenditure excluding special R&amp;M as approved by the Commission in the tariff order from FY 2014-15 onwards.</w:t>
      </w:r>
    </w:p>
    <w:p w:rsidR="00D72201" w:rsidRPr="00D72201" w:rsidRDefault="00D72201" w:rsidP="00D72201">
      <w:pPr>
        <w:pStyle w:val="ListParagraph"/>
        <w:ind w:left="360"/>
        <w:jc w:val="both"/>
        <w:rPr>
          <w:rFonts w:ascii="Arial" w:hAnsi="Arial" w:cs="Arial"/>
          <w:i/>
          <w:iCs/>
          <w:color w:val="000000"/>
        </w:rPr>
      </w:pPr>
    </w:p>
    <w:p w:rsidR="00D72201" w:rsidRPr="00D72201" w:rsidRDefault="00D72201" w:rsidP="00D72201">
      <w:pPr>
        <w:pStyle w:val="ListParagraph"/>
        <w:ind w:left="360"/>
        <w:jc w:val="both"/>
        <w:rPr>
          <w:rFonts w:ascii="Arial" w:hAnsi="Arial" w:cs="Arial"/>
          <w:i/>
          <w:iCs/>
          <w:color w:val="000000"/>
        </w:rPr>
      </w:pPr>
      <w:r w:rsidRPr="00D72201">
        <w:rPr>
          <w:rFonts w:ascii="Arial" w:hAnsi="Arial" w:cs="Arial"/>
          <w:i/>
          <w:iCs/>
          <w:color w:val="000000"/>
        </w:rPr>
        <w:t>(e) Monthly Employees cost as approved by the Commission in the tariff order from FY 2014-15 onwards.</w:t>
      </w:r>
    </w:p>
    <w:p w:rsidR="00D72201" w:rsidRPr="00D72201" w:rsidRDefault="00D72201" w:rsidP="00D72201">
      <w:pPr>
        <w:pStyle w:val="ListParagraph"/>
        <w:ind w:left="360"/>
        <w:jc w:val="both"/>
        <w:rPr>
          <w:rFonts w:ascii="Arial" w:hAnsi="Arial" w:cs="Arial"/>
          <w:i/>
          <w:iCs/>
          <w:color w:val="000000"/>
        </w:rPr>
      </w:pPr>
    </w:p>
    <w:p w:rsidR="00D72201" w:rsidRPr="00D72201" w:rsidRDefault="00D72201" w:rsidP="00D72201">
      <w:pPr>
        <w:pStyle w:val="ListParagraph"/>
        <w:ind w:left="360"/>
        <w:jc w:val="both"/>
        <w:rPr>
          <w:rFonts w:ascii="Arial" w:hAnsi="Arial" w:cs="Arial"/>
          <w:i/>
          <w:iCs/>
          <w:color w:val="000000"/>
        </w:rPr>
      </w:pPr>
      <w:r w:rsidRPr="00D72201">
        <w:rPr>
          <w:rFonts w:ascii="Arial" w:hAnsi="Arial" w:cs="Arial"/>
          <w:i/>
          <w:iCs/>
          <w:color w:val="000000"/>
        </w:rPr>
        <w:t>(f) The monthly obligation for repayment of principal and interest in respect of loan obtained/to be obtained from the financial institutions for CAPEX programme/system improvement.</w:t>
      </w:r>
    </w:p>
    <w:p w:rsidR="00D72201" w:rsidRPr="00D72201" w:rsidRDefault="00D72201" w:rsidP="00D72201">
      <w:pPr>
        <w:pStyle w:val="ListParagraph"/>
        <w:ind w:left="360"/>
        <w:jc w:val="both"/>
        <w:rPr>
          <w:rFonts w:ascii="Arial" w:hAnsi="Arial" w:cs="Arial"/>
          <w:i/>
          <w:iCs/>
          <w:color w:val="000000"/>
        </w:rPr>
      </w:pPr>
    </w:p>
    <w:p w:rsidR="00D72201" w:rsidRPr="00D72201" w:rsidRDefault="00D72201" w:rsidP="00D72201">
      <w:pPr>
        <w:pStyle w:val="ListParagraph"/>
        <w:ind w:left="360"/>
        <w:jc w:val="both"/>
        <w:rPr>
          <w:rFonts w:ascii="Arial" w:hAnsi="Arial" w:cs="Arial"/>
          <w:i/>
          <w:iCs/>
          <w:color w:val="000000"/>
        </w:rPr>
      </w:pPr>
      <w:r w:rsidRPr="00D72201">
        <w:rPr>
          <w:rFonts w:ascii="Arial" w:hAnsi="Arial" w:cs="Arial"/>
          <w:i/>
          <w:iCs/>
          <w:color w:val="000000"/>
        </w:rPr>
        <w:t>(g) Average monthly obligation of the defaulted arrear transmission charges, BSP dues of the previous financial years, if any.</w:t>
      </w:r>
    </w:p>
    <w:p w:rsidR="00D72201" w:rsidRPr="00D72201" w:rsidRDefault="00D72201" w:rsidP="00D72201">
      <w:pPr>
        <w:pStyle w:val="ListParagraph"/>
        <w:ind w:left="360"/>
        <w:jc w:val="both"/>
        <w:rPr>
          <w:rFonts w:ascii="Arial" w:hAnsi="Arial" w:cs="Arial"/>
          <w:i/>
          <w:iCs/>
          <w:color w:val="000000"/>
        </w:rPr>
      </w:pPr>
    </w:p>
    <w:p w:rsidR="00D72201" w:rsidRPr="00D72201" w:rsidRDefault="00D72201" w:rsidP="00D72201">
      <w:pPr>
        <w:pStyle w:val="ListParagraph"/>
        <w:ind w:left="360"/>
        <w:jc w:val="both"/>
        <w:rPr>
          <w:rFonts w:ascii="Arial" w:hAnsi="Arial" w:cs="Arial"/>
          <w:i/>
          <w:iCs/>
          <w:color w:val="000000"/>
        </w:rPr>
      </w:pPr>
      <w:r w:rsidRPr="00D72201">
        <w:rPr>
          <w:rFonts w:ascii="Arial" w:hAnsi="Arial" w:cs="Arial"/>
          <w:i/>
          <w:iCs/>
          <w:color w:val="000000"/>
        </w:rPr>
        <w:t>(h) The balance amount towards arrear of BSP dues worked out upto 31.3.2005 as approved in the securitization order of the Commission dated 01.12.2008.</w:t>
      </w:r>
    </w:p>
    <w:p w:rsidR="00D72201" w:rsidRPr="00D72201" w:rsidRDefault="00D72201" w:rsidP="00D72201">
      <w:pPr>
        <w:pStyle w:val="ListParagraph"/>
        <w:ind w:left="360"/>
        <w:jc w:val="both"/>
        <w:rPr>
          <w:rFonts w:ascii="Arial" w:hAnsi="Arial" w:cs="Arial"/>
          <w:i/>
          <w:iCs/>
          <w:color w:val="000000"/>
        </w:rPr>
      </w:pPr>
    </w:p>
    <w:p w:rsidR="00D72201" w:rsidRPr="00D72201" w:rsidRDefault="00D72201" w:rsidP="00D72201">
      <w:pPr>
        <w:pStyle w:val="ListParagraph"/>
        <w:ind w:left="360"/>
        <w:jc w:val="both"/>
        <w:rPr>
          <w:rFonts w:ascii="Arial" w:hAnsi="Arial" w:cs="Arial"/>
          <w:i/>
          <w:iCs/>
          <w:color w:val="000000"/>
        </w:rPr>
      </w:pPr>
      <w:r w:rsidRPr="00D72201">
        <w:rPr>
          <w:rFonts w:ascii="Arial" w:hAnsi="Arial" w:cs="Arial"/>
          <w:i/>
          <w:iCs/>
          <w:color w:val="000000"/>
        </w:rPr>
        <w:t>398. From Arrear Revenue.</w:t>
      </w:r>
    </w:p>
    <w:p w:rsidR="00D72201" w:rsidRPr="00D72201" w:rsidRDefault="00D72201" w:rsidP="00D72201">
      <w:pPr>
        <w:pStyle w:val="ListParagraph"/>
        <w:ind w:left="360"/>
        <w:jc w:val="both"/>
        <w:rPr>
          <w:rFonts w:ascii="Arial" w:hAnsi="Arial" w:cs="Arial"/>
          <w:i/>
          <w:iCs/>
          <w:color w:val="000000"/>
        </w:rPr>
      </w:pPr>
      <w:r w:rsidRPr="00D72201">
        <w:rPr>
          <w:rFonts w:ascii="Arial" w:hAnsi="Arial" w:cs="Arial"/>
          <w:i/>
          <w:iCs/>
          <w:color w:val="000000"/>
        </w:rPr>
        <w:t xml:space="preserve">The collection to be made out of the arrear outstanding as on 01.4.2014 would be utilised towards payment of the outstanding NTPC Bond dues. After NTPC dues have been </w:t>
      </w:r>
      <w:r w:rsidRPr="00D72201">
        <w:rPr>
          <w:rFonts w:ascii="Arial" w:hAnsi="Arial" w:cs="Arial"/>
          <w:i/>
          <w:iCs/>
          <w:color w:val="000000"/>
        </w:rPr>
        <w:lastRenderedPageBreak/>
        <w:t>cleared the arrear collection would be adjusted against the outstanding securitized dues, as per the Order of the Commission dtd. 01.12.2008.</w:t>
      </w:r>
    </w:p>
    <w:p w:rsidR="00D72201" w:rsidRPr="00D72201" w:rsidRDefault="00D72201" w:rsidP="00D72201">
      <w:pPr>
        <w:pStyle w:val="ListParagraph"/>
        <w:autoSpaceDE w:val="0"/>
        <w:autoSpaceDN w:val="0"/>
        <w:adjustRightInd w:val="0"/>
        <w:spacing w:line="360" w:lineRule="auto"/>
        <w:ind w:left="360"/>
        <w:jc w:val="both"/>
        <w:rPr>
          <w:rFonts w:ascii="Arial" w:hAnsi="Arial" w:cs="Arial"/>
        </w:rPr>
      </w:pPr>
    </w:p>
    <w:p w:rsidR="00D72201" w:rsidRPr="00D72201" w:rsidRDefault="00D72201" w:rsidP="00D72201">
      <w:pPr>
        <w:pStyle w:val="ListParagraph"/>
        <w:autoSpaceDE w:val="0"/>
        <w:autoSpaceDN w:val="0"/>
        <w:adjustRightInd w:val="0"/>
        <w:spacing w:line="360" w:lineRule="auto"/>
        <w:ind w:left="360"/>
        <w:jc w:val="both"/>
        <w:rPr>
          <w:rFonts w:ascii="Arial" w:hAnsi="Arial" w:cs="Arial"/>
        </w:rPr>
      </w:pPr>
      <w:r w:rsidRPr="00D72201">
        <w:rPr>
          <w:rFonts w:ascii="Arial" w:hAnsi="Arial" w:cs="Arial"/>
        </w:rPr>
        <w:t xml:space="preserve">The licensee has complied the directions of Hon’ble Commission and paid monthly BST &amp; Transmission bills regularly during the year 2014-15 as detailed below: </w:t>
      </w:r>
    </w:p>
    <w:p w:rsidR="00D72201" w:rsidRPr="00D72201" w:rsidRDefault="00D72201" w:rsidP="00D72201">
      <w:pPr>
        <w:pStyle w:val="ListParagraph"/>
        <w:autoSpaceDE w:val="0"/>
        <w:autoSpaceDN w:val="0"/>
        <w:adjustRightInd w:val="0"/>
        <w:spacing w:line="360" w:lineRule="auto"/>
        <w:ind w:left="360"/>
        <w:jc w:val="both"/>
        <w:rPr>
          <w:rFonts w:ascii="Arial" w:hAnsi="Arial" w:cs="Arial"/>
        </w:rPr>
      </w:pPr>
      <w:r w:rsidRPr="00D72201">
        <w:rPr>
          <w:rFonts w:ascii="Arial" w:hAnsi="Arial" w:cs="Arial"/>
        </w:rPr>
        <w:t>NESCO has paid current BST bills from Apri’14 to September 2014 &amp; Transmission bill from April’14 to October 2014.</w:t>
      </w:r>
    </w:p>
    <w:p w:rsidR="00D72201" w:rsidRPr="00D72201" w:rsidRDefault="00D72201" w:rsidP="00D72201">
      <w:pPr>
        <w:pStyle w:val="ListParagraph"/>
        <w:autoSpaceDE w:val="0"/>
        <w:autoSpaceDN w:val="0"/>
        <w:adjustRightInd w:val="0"/>
        <w:spacing w:line="360" w:lineRule="auto"/>
        <w:ind w:left="360"/>
        <w:jc w:val="both"/>
        <w:rPr>
          <w:rFonts w:ascii="Arial" w:hAnsi="Arial" w:cs="Arial"/>
        </w:rPr>
      </w:pPr>
    </w:p>
    <w:p w:rsidR="00D72201" w:rsidRPr="00D72201" w:rsidRDefault="00D72201" w:rsidP="00D72201">
      <w:pPr>
        <w:pStyle w:val="ListParagraph"/>
        <w:autoSpaceDE w:val="0"/>
        <w:autoSpaceDN w:val="0"/>
        <w:adjustRightInd w:val="0"/>
        <w:spacing w:line="360" w:lineRule="auto"/>
        <w:ind w:left="360"/>
        <w:jc w:val="both"/>
        <w:rPr>
          <w:rFonts w:ascii="Arial" w:hAnsi="Arial" w:cs="Arial"/>
        </w:rPr>
      </w:pPr>
      <w:r w:rsidRPr="00D72201">
        <w:rPr>
          <w:rFonts w:ascii="Arial" w:hAnsi="Arial" w:cs="Arial"/>
        </w:rPr>
        <w:t xml:space="preserve">Licensee has requested GRIDCO several occasions during this period for allowing monthly Escrow Relaxation towards Salary &amp; wages and R &amp; M expenses in line with the Order of the Hon’ble Commission. Unfortunately, GRIDCO did not relax the escrow except in the month of August &amp; Sept.’2014 . In the other months, neither GRIDCO relaxed Escrow nor communicated any reason for not allowing  relaxation. </w:t>
      </w:r>
    </w:p>
    <w:p w:rsidR="00D72201" w:rsidRDefault="00D72201" w:rsidP="00D72201">
      <w:pPr>
        <w:pStyle w:val="ListParagraph"/>
        <w:autoSpaceDE w:val="0"/>
        <w:autoSpaceDN w:val="0"/>
        <w:adjustRightInd w:val="0"/>
        <w:spacing w:line="360" w:lineRule="auto"/>
        <w:ind w:left="360"/>
        <w:jc w:val="both"/>
        <w:rPr>
          <w:rFonts w:ascii="Arial" w:hAnsi="Arial" w:cs="Arial"/>
        </w:rPr>
      </w:pPr>
    </w:p>
    <w:p w:rsidR="00D72201" w:rsidRPr="00D72201" w:rsidRDefault="00D72201" w:rsidP="00D72201">
      <w:pPr>
        <w:pStyle w:val="ListParagraph"/>
        <w:autoSpaceDE w:val="0"/>
        <w:autoSpaceDN w:val="0"/>
        <w:adjustRightInd w:val="0"/>
        <w:spacing w:line="360" w:lineRule="auto"/>
        <w:ind w:left="360"/>
        <w:jc w:val="both"/>
        <w:rPr>
          <w:rFonts w:ascii="Arial" w:hAnsi="Arial" w:cs="Arial"/>
        </w:rPr>
      </w:pPr>
      <w:r w:rsidRPr="00D72201">
        <w:rPr>
          <w:rFonts w:ascii="Arial" w:hAnsi="Arial" w:cs="Arial"/>
        </w:rPr>
        <w:t xml:space="preserve">Thus, it is prayed that commencing from FY 2015-16, GRIDCO should be impressed to relax the Escrow on payment of current BST Bill and in absence of any communication within 15 days from the deposition of Bill from GRIDCO specifying  proper justification for denying the relaxation, duly supported with data as well as abstract of relevant directive from Hon’ble Commission,  The Licensee may kindly be permitted to avail Escrow relexation automatically on expiry of 15 days. .  </w:t>
      </w:r>
    </w:p>
    <w:p w:rsidR="00D72201" w:rsidRDefault="00D72201" w:rsidP="00D72201">
      <w:pPr>
        <w:pStyle w:val="ListParagraph"/>
        <w:spacing w:line="360" w:lineRule="auto"/>
        <w:ind w:left="360"/>
        <w:jc w:val="both"/>
        <w:rPr>
          <w:rFonts w:ascii="Arial" w:hAnsi="Arial" w:cs="Arial"/>
        </w:rPr>
      </w:pPr>
    </w:p>
    <w:p w:rsidR="00D72201" w:rsidRPr="00D72201" w:rsidRDefault="00D72201" w:rsidP="00D72201">
      <w:pPr>
        <w:pStyle w:val="ListParagraph"/>
        <w:spacing w:line="360" w:lineRule="auto"/>
        <w:ind w:left="360"/>
        <w:jc w:val="both"/>
        <w:rPr>
          <w:rFonts w:ascii="Arial" w:hAnsi="Arial" w:cs="Arial"/>
        </w:rPr>
      </w:pPr>
      <w:r w:rsidRPr="00D72201">
        <w:rPr>
          <w:rFonts w:ascii="Arial" w:hAnsi="Arial" w:cs="Arial"/>
        </w:rPr>
        <w:t>It is worthwhile to submit here that Licensee is disbursing monthly salary to its employees every month after availing short term loan from various Banks against security of fixed deposits which is additional burden to the financially strained DISCOMs. This is posing serious threat to the  survivalness of the Licensees and heavily affecting on the efficiency of the Licensee. Apart from above, licensee is facing  I.R. problems due to non-payment of wages on time to the employees  and its cascading effect on the revenue collection.</w:t>
      </w:r>
    </w:p>
    <w:p w:rsidR="00D72201" w:rsidRDefault="00D72201" w:rsidP="00D72201">
      <w:pPr>
        <w:pStyle w:val="ListParagraph"/>
        <w:spacing w:line="360" w:lineRule="auto"/>
        <w:ind w:left="360"/>
        <w:jc w:val="both"/>
        <w:rPr>
          <w:rFonts w:ascii="Arial" w:hAnsi="Arial" w:cs="Arial"/>
        </w:rPr>
      </w:pPr>
    </w:p>
    <w:p w:rsidR="00D72201" w:rsidRPr="00D72201" w:rsidRDefault="00D72201" w:rsidP="00D72201">
      <w:pPr>
        <w:pStyle w:val="ListParagraph"/>
        <w:spacing w:line="360" w:lineRule="auto"/>
        <w:ind w:left="360"/>
        <w:jc w:val="both"/>
        <w:rPr>
          <w:rFonts w:ascii="Arial" w:hAnsi="Arial" w:cs="Arial"/>
        </w:rPr>
      </w:pPr>
      <w:r w:rsidRPr="00D72201">
        <w:rPr>
          <w:rFonts w:ascii="Arial" w:hAnsi="Arial" w:cs="Arial"/>
        </w:rPr>
        <w:t xml:space="preserve">It may be appreciated that motivated employees and the healthy distribution network are equally important for the delivery of power and efficient service to the consumers. Thus,  expenses towards R &amp; M, Salary &amp; BSP bills need to be  kept at equal footing. Only prioritizing the servicing the power purchase dues for financial security of GRIDCO &amp; OPTCL, their employees and employees trusts and Transmission Network without giving attention to the distribution employee and distribution network would lead to wastage / loss of major portion of the procured power. </w:t>
      </w:r>
    </w:p>
    <w:p w:rsidR="00D72201" w:rsidRDefault="00D72201" w:rsidP="00D72201">
      <w:pPr>
        <w:pStyle w:val="ListParagraph"/>
        <w:tabs>
          <w:tab w:val="left" w:pos="900"/>
        </w:tabs>
        <w:ind w:left="360"/>
        <w:jc w:val="both"/>
        <w:rPr>
          <w:rFonts w:ascii="Arial" w:hAnsi="Arial" w:cs="Arial"/>
        </w:rPr>
      </w:pPr>
    </w:p>
    <w:p w:rsidR="00D72201" w:rsidRPr="00D72201" w:rsidRDefault="00D72201" w:rsidP="00D72201">
      <w:pPr>
        <w:pStyle w:val="ListParagraph"/>
        <w:tabs>
          <w:tab w:val="left" w:pos="900"/>
        </w:tabs>
        <w:ind w:left="360"/>
        <w:jc w:val="both"/>
        <w:rPr>
          <w:rFonts w:ascii="Arial" w:hAnsi="Arial" w:cs="Arial"/>
        </w:rPr>
      </w:pPr>
      <w:r w:rsidRPr="00D72201">
        <w:rPr>
          <w:rFonts w:ascii="Arial" w:hAnsi="Arial" w:cs="Arial"/>
        </w:rPr>
        <w:t>In view of the above, DISCOMs prayed before Hon’ble Commission to allow the following priorities in releasing the funds from Escrow Account;</w:t>
      </w:r>
    </w:p>
    <w:p w:rsidR="00D72201" w:rsidRPr="00D72201" w:rsidRDefault="00D72201" w:rsidP="00D72201">
      <w:pPr>
        <w:pStyle w:val="ListParagraph"/>
        <w:tabs>
          <w:tab w:val="left" w:pos="900"/>
        </w:tabs>
        <w:ind w:left="360"/>
        <w:jc w:val="both"/>
        <w:rPr>
          <w:rFonts w:ascii="Arial" w:hAnsi="Arial" w:cs="Arial"/>
          <w:b/>
          <w:i/>
        </w:rPr>
      </w:pPr>
      <w:r w:rsidRPr="00D72201">
        <w:rPr>
          <w:rFonts w:ascii="Arial" w:hAnsi="Arial" w:cs="Arial"/>
          <w:b/>
        </w:rPr>
        <w:lastRenderedPageBreak/>
        <w:tab/>
      </w:r>
      <w:r w:rsidRPr="00D72201">
        <w:rPr>
          <w:rFonts w:ascii="Arial" w:hAnsi="Arial" w:cs="Arial"/>
          <w:b/>
          <w:i/>
        </w:rPr>
        <w:t>“</w:t>
      </w:r>
      <w:r w:rsidRPr="00D72201">
        <w:rPr>
          <w:rFonts w:ascii="Arial" w:hAnsi="Arial" w:cs="Arial"/>
          <w:b/>
          <w:i/>
          <w:u w:val="single"/>
        </w:rPr>
        <w:t>Collections from current and arrear Revenue.</w:t>
      </w:r>
    </w:p>
    <w:p w:rsidR="00D72201" w:rsidRPr="00D72201" w:rsidRDefault="00D72201" w:rsidP="00D72201">
      <w:pPr>
        <w:pStyle w:val="ListParagraph"/>
        <w:spacing w:line="360" w:lineRule="auto"/>
        <w:ind w:left="360"/>
        <w:jc w:val="both"/>
        <w:rPr>
          <w:rFonts w:ascii="Arial" w:hAnsi="Arial" w:cs="Arial"/>
          <w:i/>
          <w:iCs/>
          <w:color w:val="000000"/>
        </w:rPr>
      </w:pPr>
      <w:r w:rsidRPr="00D72201">
        <w:rPr>
          <w:rFonts w:ascii="Arial" w:hAnsi="Arial" w:cs="Arial"/>
          <w:i/>
          <w:iCs/>
          <w:color w:val="000000"/>
        </w:rPr>
        <w:t>(a) Annual License Fees to be paid by DISCOMs to OERC in full by 10th April every year as per the Clause 31.1 of the License Condition of DISCOMs.</w:t>
      </w:r>
    </w:p>
    <w:p w:rsidR="00D72201" w:rsidRPr="00D72201" w:rsidRDefault="00D72201" w:rsidP="00D72201">
      <w:pPr>
        <w:pStyle w:val="ListParagraph"/>
        <w:spacing w:line="360" w:lineRule="auto"/>
        <w:ind w:left="360"/>
        <w:jc w:val="both"/>
        <w:rPr>
          <w:rFonts w:ascii="Arial" w:hAnsi="Arial" w:cs="Arial"/>
          <w:i/>
          <w:iCs/>
          <w:color w:val="000000"/>
        </w:rPr>
      </w:pPr>
    </w:p>
    <w:p w:rsidR="00D72201" w:rsidRPr="00D72201" w:rsidRDefault="00D72201" w:rsidP="00D72201">
      <w:pPr>
        <w:pStyle w:val="ListParagraph"/>
        <w:spacing w:line="360" w:lineRule="auto"/>
        <w:ind w:left="360"/>
        <w:jc w:val="both"/>
        <w:rPr>
          <w:rFonts w:ascii="Arial" w:hAnsi="Arial" w:cs="Arial"/>
          <w:i/>
          <w:iCs/>
          <w:color w:val="000000"/>
        </w:rPr>
      </w:pPr>
      <w:r w:rsidRPr="00D72201">
        <w:rPr>
          <w:rFonts w:ascii="Arial" w:hAnsi="Arial" w:cs="Arial"/>
          <w:i/>
          <w:iCs/>
          <w:color w:val="000000"/>
        </w:rPr>
        <w:t>(b) (i) Transmission charges, BSP dues, SLDC charges of the current month of the current financial year, (ii) Monthly employees cost and R &amp; M expenses as approved by the Commission and (iii) the energy bill of DISCOMs in respect of direct power purchase from CGPs or other agencies, if any and any other charges approved by the Commission from time to time; in full or proportionately if the Revenue collections is less than the total of (i), (ii) and (iii).</w:t>
      </w:r>
    </w:p>
    <w:p w:rsidR="00D72201" w:rsidRPr="00D72201" w:rsidRDefault="00D72201" w:rsidP="00D72201">
      <w:pPr>
        <w:pStyle w:val="ListParagraph"/>
        <w:spacing w:line="360" w:lineRule="auto"/>
        <w:ind w:left="360"/>
        <w:jc w:val="both"/>
        <w:rPr>
          <w:rFonts w:ascii="Arial" w:hAnsi="Arial" w:cs="Arial"/>
          <w:i/>
          <w:iCs/>
          <w:color w:val="000000"/>
        </w:rPr>
      </w:pPr>
    </w:p>
    <w:p w:rsidR="00D72201" w:rsidRPr="00D72201" w:rsidRDefault="00D72201" w:rsidP="00D72201">
      <w:pPr>
        <w:pStyle w:val="ListParagraph"/>
        <w:spacing w:line="360" w:lineRule="auto"/>
        <w:ind w:left="360"/>
        <w:jc w:val="both"/>
        <w:rPr>
          <w:rFonts w:ascii="Arial" w:hAnsi="Arial" w:cs="Arial"/>
          <w:i/>
          <w:iCs/>
          <w:color w:val="000000"/>
        </w:rPr>
      </w:pPr>
      <w:r w:rsidRPr="00D72201">
        <w:rPr>
          <w:rFonts w:ascii="Arial" w:hAnsi="Arial" w:cs="Arial"/>
          <w:i/>
          <w:iCs/>
          <w:color w:val="000000"/>
        </w:rPr>
        <w:t xml:space="preserve">(c) The unpaid amount of transmission charges, BSP dues, SLDC charges and unpaid employees cost and R &amp;M expenses of any previous months of the current financial year. </w:t>
      </w:r>
    </w:p>
    <w:p w:rsidR="00D72201" w:rsidRPr="00D72201" w:rsidRDefault="00D72201" w:rsidP="00D72201">
      <w:pPr>
        <w:pStyle w:val="ListParagraph"/>
        <w:spacing w:line="360" w:lineRule="auto"/>
        <w:ind w:left="360"/>
        <w:jc w:val="both"/>
        <w:rPr>
          <w:rFonts w:ascii="Arial" w:hAnsi="Arial" w:cs="Arial"/>
          <w:i/>
          <w:iCs/>
          <w:color w:val="000000"/>
        </w:rPr>
      </w:pPr>
    </w:p>
    <w:p w:rsidR="00D72201" w:rsidRPr="00D72201" w:rsidRDefault="00D72201" w:rsidP="00D72201">
      <w:pPr>
        <w:pStyle w:val="ListParagraph"/>
        <w:spacing w:line="360" w:lineRule="auto"/>
        <w:ind w:left="360"/>
        <w:jc w:val="both"/>
        <w:rPr>
          <w:rFonts w:ascii="Arial" w:hAnsi="Arial" w:cs="Arial"/>
          <w:i/>
          <w:iCs/>
          <w:color w:val="000000"/>
        </w:rPr>
      </w:pPr>
      <w:r w:rsidRPr="00D72201">
        <w:rPr>
          <w:rFonts w:ascii="Arial" w:hAnsi="Arial" w:cs="Arial"/>
          <w:i/>
          <w:iCs/>
          <w:color w:val="000000"/>
        </w:rPr>
        <w:t>(d) Monthly Special R&amp;M expenditure under Commission monitored Smart Metering, Energy Audit Schemes and SCADA centers, as approved by the Commission in the tariff order from FY 2014-15 onwards. The relaxation for successive months would be done only after submission of monthly progress report by DISCOMs to the Commission and GRIDCO.</w:t>
      </w:r>
    </w:p>
    <w:p w:rsidR="00D72201" w:rsidRPr="00D72201" w:rsidRDefault="00D72201" w:rsidP="00D72201">
      <w:pPr>
        <w:pStyle w:val="ListParagraph"/>
        <w:spacing w:line="360" w:lineRule="auto"/>
        <w:ind w:left="360"/>
        <w:jc w:val="both"/>
        <w:rPr>
          <w:rFonts w:ascii="Arial" w:hAnsi="Arial" w:cs="Arial"/>
          <w:i/>
          <w:iCs/>
          <w:color w:val="000000"/>
        </w:rPr>
      </w:pPr>
      <w:r w:rsidRPr="00D72201">
        <w:rPr>
          <w:rFonts w:ascii="Arial" w:hAnsi="Arial" w:cs="Arial"/>
          <w:i/>
          <w:iCs/>
          <w:color w:val="000000"/>
        </w:rPr>
        <w:t>(e) Average monthly obligation of the defaulted arrear transmission charges, BSP dues of the previous financial years, New Loan outstanding if any.</w:t>
      </w:r>
    </w:p>
    <w:p w:rsidR="00D72201" w:rsidRPr="00D72201" w:rsidRDefault="00D72201" w:rsidP="00D72201">
      <w:pPr>
        <w:pStyle w:val="ListParagraph"/>
        <w:spacing w:line="360" w:lineRule="auto"/>
        <w:ind w:left="360"/>
        <w:jc w:val="both"/>
        <w:rPr>
          <w:rFonts w:ascii="Arial" w:hAnsi="Arial" w:cs="Arial"/>
          <w:i/>
          <w:iCs/>
          <w:color w:val="000000"/>
        </w:rPr>
      </w:pPr>
    </w:p>
    <w:p w:rsidR="00D72201" w:rsidRPr="00D72201" w:rsidRDefault="00D72201" w:rsidP="00D72201">
      <w:pPr>
        <w:pStyle w:val="ListParagraph"/>
        <w:spacing w:line="360" w:lineRule="auto"/>
        <w:ind w:left="360"/>
        <w:jc w:val="both"/>
        <w:rPr>
          <w:rFonts w:ascii="Arial" w:hAnsi="Arial" w:cs="Arial"/>
          <w:i/>
          <w:iCs/>
          <w:color w:val="000000"/>
        </w:rPr>
      </w:pPr>
      <w:r w:rsidRPr="00D72201">
        <w:rPr>
          <w:rFonts w:ascii="Arial" w:hAnsi="Arial" w:cs="Arial"/>
          <w:i/>
          <w:iCs/>
          <w:color w:val="000000"/>
        </w:rPr>
        <w:t>(f) The balance amount towards arrear of BSP dues worked out upto 31.3.2005 as approved in the securitization order of the Commission dated 01.12.2008.</w:t>
      </w:r>
    </w:p>
    <w:p w:rsidR="00D72201" w:rsidRPr="00D72201" w:rsidRDefault="00D72201" w:rsidP="00D72201">
      <w:pPr>
        <w:pStyle w:val="ListParagraph"/>
        <w:spacing w:line="360" w:lineRule="auto"/>
        <w:ind w:left="360"/>
        <w:jc w:val="both"/>
        <w:rPr>
          <w:rFonts w:ascii="Arial" w:hAnsi="Arial" w:cs="Arial"/>
          <w:i/>
          <w:iCs/>
          <w:color w:val="000000"/>
        </w:rPr>
      </w:pPr>
    </w:p>
    <w:p w:rsidR="00D72201" w:rsidRPr="00D72201" w:rsidRDefault="00D72201" w:rsidP="00D72201">
      <w:pPr>
        <w:pStyle w:val="ListParagraph"/>
        <w:spacing w:line="360" w:lineRule="auto"/>
        <w:ind w:left="360"/>
        <w:jc w:val="both"/>
        <w:rPr>
          <w:rFonts w:ascii="Arial" w:hAnsi="Arial" w:cs="Arial"/>
          <w:i/>
          <w:iCs/>
          <w:color w:val="000000"/>
        </w:rPr>
      </w:pPr>
      <w:r w:rsidRPr="00D72201">
        <w:rPr>
          <w:rFonts w:ascii="Arial" w:hAnsi="Arial" w:cs="Arial"/>
          <w:i/>
          <w:iCs/>
          <w:color w:val="000000"/>
        </w:rPr>
        <w:t>However, in case any loans is taken for the CAPEX or any S.I. works, the loan servicing amount shall have  1</w:t>
      </w:r>
      <w:r w:rsidRPr="00D72201">
        <w:rPr>
          <w:rFonts w:ascii="Arial" w:hAnsi="Arial" w:cs="Arial"/>
          <w:i/>
          <w:iCs/>
          <w:color w:val="000000"/>
          <w:vertAlign w:val="superscript"/>
        </w:rPr>
        <w:t>st</w:t>
      </w:r>
      <w:r w:rsidRPr="00D72201">
        <w:rPr>
          <w:rFonts w:ascii="Arial" w:hAnsi="Arial" w:cs="Arial"/>
          <w:i/>
          <w:iCs/>
          <w:color w:val="000000"/>
        </w:rPr>
        <w:t xml:space="preserve"> charge on Revenue for payment of  monthly obligation towards repayment of principal and interest in respect of loan obtained/to be obtained from the financial institutions for CAPEX programme/system improvement.</w:t>
      </w:r>
    </w:p>
    <w:p w:rsidR="00D80B5B" w:rsidRPr="005D7A92" w:rsidRDefault="00D80B5B" w:rsidP="00CF66A5">
      <w:pPr>
        <w:pStyle w:val="Heading1"/>
        <w:numPr>
          <w:ilvl w:val="1"/>
          <w:numId w:val="49"/>
        </w:numPr>
        <w:spacing w:line="360" w:lineRule="auto"/>
        <w:jc w:val="both"/>
        <w:rPr>
          <w:sz w:val="22"/>
          <w:szCs w:val="22"/>
        </w:rPr>
      </w:pPr>
      <w:bookmarkStart w:id="98" w:name="_Toc404940197"/>
      <w:r w:rsidRPr="005D7A92">
        <w:rPr>
          <w:sz w:val="22"/>
          <w:szCs w:val="22"/>
        </w:rPr>
        <w:t>Constraints in Intra State ABT Operation</w:t>
      </w:r>
      <w:bookmarkEnd w:id="98"/>
    </w:p>
    <w:p w:rsidR="002D4D34" w:rsidRPr="005D7A92" w:rsidRDefault="00D80B5B" w:rsidP="00CF66A5">
      <w:pPr>
        <w:numPr>
          <w:ilvl w:val="0"/>
          <w:numId w:val="43"/>
        </w:numPr>
        <w:spacing w:line="360" w:lineRule="auto"/>
        <w:rPr>
          <w:rFonts w:ascii="Arial" w:hAnsi="Arial" w:cs="Arial"/>
          <w:b/>
          <w:sz w:val="22"/>
          <w:szCs w:val="22"/>
          <w:u w:val="single"/>
        </w:rPr>
      </w:pPr>
      <w:r w:rsidRPr="005D7A92">
        <w:rPr>
          <w:rFonts w:ascii="Arial" w:hAnsi="Arial" w:cs="Arial"/>
          <w:b/>
          <w:sz w:val="22"/>
          <w:szCs w:val="22"/>
          <w:u w:val="single"/>
        </w:rPr>
        <w:t>Commercial Issues</w:t>
      </w:r>
    </w:p>
    <w:p w:rsidR="002D4D34" w:rsidRPr="005D7A92" w:rsidRDefault="002D4D34" w:rsidP="00CF66A5">
      <w:pPr>
        <w:pStyle w:val="ListParagraph"/>
        <w:numPr>
          <w:ilvl w:val="0"/>
          <w:numId w:val="42"/>
        </w:numPr>
        <w:spacing w:after="0" w:line="360" w:lineRule="auto"/>
        <w:jc w:val="both"/>
        <w:rPr>
          <w:rFonts w:ascii="Arial" w:hAnsi="Arial" w:cs="Arial"/>
        </w:rPr>
      </w:pPr>
      <w:r w:rsidRPr="005D7A92">
        <w:rPr>
          <w:rFonts w:ascii="Arial" w:hAnsi="Arial" w:cs="Arial"/>
        </w:rPr>
        <w:t>As per the Order of the Hon’ble Commission, the 1</w:t>
      </w:r>
      <w:r w:rsidRPr="005D7A92">
        <w:rPr>
          <w:rFonts w:ascii="Arial" w:hAnsi="Arial" w:cs="Arial"/>
          <w:vertAlign w:val="superscript"/>
        </w:rPr>
        <w:t>st</w:t>
      </w:r>
      <w:r w:rsidRPr="005D7A92">
        <w:rPr>
          <w:rFonts w:ascii="Arial" w:hAnsi="Arial" w:cs="Arial"/>
        </w:rPr>
        <w:t xml:space="preserve"> phase of intra state ABT imposed from FY 2012-13, wherein the ABT arrangement is enforced between GRIDCO and DISCOMs without involving Generators. Although it was stipulated in the Order that the Intra state ABT will be fully operational within six months from implementation of Phase –1 i.e. September 2012 by involving generators. </w:t>
      </w:r>
    </w:p>
    <w:p w:rsidR="002D4D34" w:rsidRPr="005D7A92" w:rsidRDefault="002D4D34" w:rsidP="002D4D34">
      <w:pPr>
        <w:pStyle w:val="ListParagraph"/>
        <w:spacing w:after="0" w:line="360" w:lineRule="auto"/>
        <w:jc w:val="both"/>
        <w:rPr>
          <w:rFonts w:ascii="Arial" w:hAnsi="Arial" w:cs="Arial"/>
        </w:rPr>
      </w:pPr>
      <w:r w:rsidRPr="005D7A92">
        <w:rPr>
          <w:rFonts w:ascii="Arial" w:hAnsi="Arial" w:cs="Arial"/>
        </w:rPr>
        <w:lastRenderedPageBreak/>
        <w:t>Since then the 2</w:t>
      </w:r>
      <w:r w:rsidRPr="005D7A92">
        <w:rPr>
          <w:rFonts w:ascii="Arial" w:hAnsi="Arial" w:cs="Arial"/>
          <w:vertAlign w:val="superscript"/>
        </w:rPr>
        <w:t>nd</w:t>
      </w:r>
      <w:r w:rsidRPr="005D7A92">
        <w:rPr>
          <w:rFonts w:ascii="Arial" w:hAnsi="Arial" w:cs="Arial"/>
        </w:rPr>
        <w:t xml:space="preserve"> stage of including generators have not bee taken up and this has created lot of inconvenience and hassles in the smooth operation of ABT along with huge commercial implication on the DISCOMs. Few of them are submitted below:    </w:t>
      </w:r>
    </w:p>
    <w:p w:rsidR="002D4D34" w:rsidRPr="005D7A92" w:rsidRDefault="002D4D34" w:rsidP="005D7A92">
      <w:pPr>
        <w:pStyle w:val="ListParagraph"/>
        <w:spacing w:after="0" w:line="360" w:lineRule="auto"/>
        <w:jc w:val="both"/>
        <w:rPr>
          <w:rFonts w:ascii="Arial" w:hAnsi="Arial" w:cs="Arial"/>
        </w:rPr>
      </w:pPr>
    </w:p>
    <w:p w:rsidR="002D4D34" w:rsidRPr="005D7A92" w:rsidRDefault="002D4D34" w:rsidP="00CF66A5">
      <w:pPr>
        <w:pStyle w:val="ListParagraph"/>
        <w:numPr>
          <w:ilvl w:val="0"/>
          <w:numId w:val="42"/>
        </w:numPr>
        <w:spacing w:after="0" w:line="360" w:lineRule="auto"/>
        <w:jc w:val="both"/>
        <w:rPr>
          <w:rFonts w:ascii="Arial" w:hAnsi="Arial" w:cs="Arial"/>
          <w:b/>
        </w:rPr>
      </w:pPr>
      <w:r w:rsidRPr="005D7A92">
        <w:rPr>
          <w:rFonts w:ascii="Arial" w:hAnsi="Arial" w:cs="Arial"/>
        </w:rPr>
        <w:t xml:space="preserve">SLDC is calculating the deviation settlement charges with effect from 17.02. 2014 by  limiting  the drawal of DISCOMs  to 12% of Central Sector entitlement, instead of 12 % of schedule given by DISCOMs. This is not not in conformity to the  CERC regulation as well as OERC regulation and is </w:t>
      </w:r>
      <w:r w:rsidRPr="005D7A92">
        <w:rPr>
          <w:rFonts w:ascii="Arial" w:hAnsi="Arial" w:cs="Arial"/>
          <w:u w:val="single"/>
        </w:rPr>
        <w:t>also not ethical</w:t>
      </w:r>
      <w:r w:rsidRPr="005D7A92">
        <w:rPr>
          <w:rFonts w:ascii="Arial" w:hAnsi="Arial" w:cs="Arial"/>
        </w:rPr>
        <w:t xml:space="preserve">.  The principle is a self made principle of SLDC.  The scheduled Energy Drawal approved by SLDC and being used for generation of monthly BST bill  and the actual energy drawl as per meter reading used for calculation of Transmission bill by OPTCL  are differing from deviation in MUs utilized for preparation of Deviation charge bill by SLDC in several months in different DISCOMs. The MU billed under UI / deviation by SLDC and amount of deviation </w:t>
      </w:r>
      <w:r w:rsidR="00CC3D8A" w:rsidRPr="005D7A92">
        <w:rPr>
          <w:rFonts w:ascii="Arial" w:hAnsi="Arial" w:cs="Arial"/>
        </w:rPr>
        <w:t>bill and</w:t>
      </w:r>
      <w:r w:rsidRPr="005D7A92">
        <w:rPr>
          <w:rFonts w:ascii="Arial" w:hAnsi="Arial" w:cs="Arial"/>
        </w:rPr>
        <w:t xml:space="preserve"> computation of amount corresponding to excess drawl by DISCOMs at payable at BST  are  given in the table below for reference. </w:t>
      </w:r>
    </w:p>
    <w:p w:rsidR="002D4D34" w:rsidRPr="005D7A92" w:rsidRDefault="002D4D34" w:rsidP="002D4D34">
      <w:pPr>
        <w:jc w:val="both"/>
        <w:rPr>
          <w:rFonts w:ascii="Arial" w:hAnsi="Arial" w:cs="Arial"/>
          <w:sz w:val="22"/>
          <w:szCs w:val="22"/>
        </w:rPr>
      </w:pPr>
    </w:p>
    <w:p w:rsidR="002D4D34" w:rsidRPr="005D7A92" w:rsidRDefault="002D4D34" w:rsidP="00CC3D8A">
      <w:pPr>
        <w:pStyle w:val="ListParagraph"/>
        <w:numPr>
          <w:ilvl w:val="0"/>
          <w:numId w:val="42"/>
        </w:numPr>
        <w:spacing w:after="0" w:line="360" w:lineRule="auto"/>
        <w:jc w:val="both"/>
        <w:rPr>
          <w:rFonts w:ascii="Arial" w:hAnsi="Arial" w:cs="Arial"/>
        </w:rPr>
      </w:pPr>
      <w:r w:rsidRPr="005D7A92">
        <w:rPr>
          <w:rFonts w:ascii="Arial" w:hAnsi="Arial" w:cs="Arial"/>
        </w:rPr>
        <w:t>OERC in its order dated 05.04.2014 in case no 40/2013 has directed GRIDCO to stop double billing of Over Drawal energy  and revise all such bills for previous period. In future BST bill will be on the monthly schedule energy only at BSP rate.   But till date revised bills of  previous periods  have not yet been received by DISCOMs</w:t>
      </w:r>
    </w:p>
    <w:p w:rsidR="002D4D34" w:rsidRPr="005D7A92" w:rsidRDefault="002D4D34" w:rsidP="00CC3D8A">
      <w:pPr>
        <w:pStyle w:val="ListParagraph"/>
        <w:spacing w:after="0" w:line="360" w:lineRule="auto"/>
        <w:ind w:left="1080"/>
        <w:jc w:val="both"/>
        <w:rPr>
          <w:rFonts w:ascii="Arial" w:hAnsi="Arial" w:cs="Arial"/>
        </w:rPr>
      </w:pPr>
      <w:r w:rsidRPr="005D7A92">
        <w:rPr>
          <w:rFonts w:ascii="Arial" w:hAnsi="Arial" w:cs="Arial"/>
        </w:rPr>
        <w:t xml:space="preserve">When SLDC is linking the Drawl of DISCOM with ISGS drawal, then Deviation Settlement Charges receivable from and  Payable to ER Pool by GRIDCO should also be equally shared with DISCOMs. it is worthwhile to mention that  when GRIDCO has claimed Rs 298.40 Crore deviation charges bill for the period 31.03.2014 to 28.09.2014 to four DISCOMs,  during the same period GRIDCO  is entitled to receive  Deviation charges of  Rs 12.90 Crore from ER Pool as detailed below.  </w:t>
      </w:r>
    </w:p>
    <w:tbl>
      <w:tblPr>
        <w:tblW w:w="10878" w:type="dxa"/>
        <w:tblInd w:w="-576" w:type="dxa"/>
        <w:tblLook w:val="04A0"/>
      </w:tblPr>
      <w:tblGrid>
        <w:gridCol w:w="1910"/>
        <w:gridCol w:w="1150"/>
        <w:gridCol w:w="1150"/>
        <w:gridCol w:w="1117"/>
        <w:gridCol w:w="1117"/>
        <w:gridCol w:w="1106"/>
        <w:gridCol w:w="1016"/>
        <w:gridCol w:w="1117"/>
        <w:gridCol w:w="1195"/>
      </w:tblGrid>
      <w:tr w:rsidR="002D4D34" w:rsidTr="005D7A92">
        <w:trPr>
          <w:trHeight w:val="301"/>
        </w:trPr>
        <w:tc>
          <w:tcPr>
            <w:tcW w:w="1087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b/>
                <w:bCs/>
                <w:sz w:val="20"/>
                <w:szCs w:val="20"/>
              </w:rPr>
            </w:pPr>
            <w:r>
              <w:rPr>
                <w:rFonts w:ascii="Arial" w:hAnsi="Arial" w:cs="Arial"/>
                <w:b/>
                <w:bCs/>
                <w:sz w:val="20"/>
                <w:szCs w:val="20"/>
              </w:rPr>
              <w:t xml:space="preserve">SLDC Deviation Bill Vrs ERPC Deviation Bill </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b/>
                <w:bCs/>
                <w:sz w:val="20"/>
                <w:szCs w:val="20"/>
              </w:rPr>
            </w:pPr>
            <w:r>
              <w:rPr>
                <w:rFonts w:ascii="Arial" w:hAnsi="Arial" w:cs="Arial"/>
                <w:b/>
                <w:bCs/>
                <w:sz w:val="20"/>
                <w:szCs w:val="20"/>
              </w:rPr>
              <w:t> </w:t>
            </w:r>
          </w:p>
        </w:tc>
        <w:tc>
          <w:tcPr>
            <w:tcW w:w="4534" w:type="dxa"/>
            <w:gridSpan w:val="4"/>
            <w:tcBorders>
              <w:top w:val="single" w:sz="4" w:space="0" w:color="auto"/>
              <w:left w:val="nil"/>
              <w:bottom w:val="single" w:sz="4" w:space="0" w:color="auto"/>
              <w:right w:val="single" w:sz="4" w:space="0" w:color="000000"/>
            </w:tcBorders>
            <w:shd w:val="clear" w:color="auto" w:fill="auto"/>
            <w:vAlign w:val="bottom"/>
            <w:hideMark/>
          </w:tcPr>
          <w:p w:rsidR="002D4D34" w:rsidRDefault="002D4D34" w:rsidP="00E52EAD">
            <w:pPr>
              <w:jc w:val="center"/>
              <w:rPr>
                <w:rFonts w:ascii="Arial" w:hAnsi="Arial" w:cs="Arial"/>
                <w:b/>
                <w:bCs/>
                <w:sz w:val="20"/>
                <w:szCs w:val="20"/>
              </w:rPr>
            </w:pPr>
            <w:r>
              <w:rPr>
                <w:rFonts w:ascii="Arial" w:hAnsi="Arial" w:cs="Arial"/>
                <w:b/>
                <w:bCs/>
                <w:sz w:val="20"/>
                <w:szCs w:val="20"/>
              </w:rPr>
              <w:t>SLDC Deviation Bill to  4 DISCOMS</w:t>
            </w:r>
          </w:p>
        </w:tc>
        <w:tc>
          <w:tcPr>
            <w:tcW w:w="4434" w:type="dxa"/>
            <w:gridSpan w:val="4"/>
            <w:tcBorders>
              <w:top w:val="single" w:sz="4" w:space="0" w:color="auto"/>
              <w:left w:val="nil"/>
              <w:bottom w:val="single" w:sz="4" w:space="0" w:color="auto"/>
              <w:right w:val="single" w:sz="4" w:space="0" w:color="000000"/>
            </w:tcBorders>
            <w:shd w:val="clear" w:color="auto" w:fill="auto"/>
            <w:vAlign w:val="bottom"/>
            <w:hideMark/>
          </w:tcPr>
          <w:p w:rsidR="002D4D34" w:rsidRDefault="002D4D34" w:rsidP="00E52EAD">
            <w:pPr>
              <w:jc w:val="center"/>
              <w:rPr>
                <w:rFonts w:ascii="Arial" w:hAnsi="Arial" w:cs="Arial"/>
                <w:b/>
                <w:bCs/>
                <w:sz w:val="20"/>
                <w:szCs w:val="20"/>
              </w:rPr>
            </w:pPr>
            <w:r>
              <w:rPr>
                <w:rFonts w:ascii="Arial" w:hAnsi="Arial" w:cs="Arial"/>
                <w:b/>
                <w:bCs/>
                <w:sz w:val="20"/>
                <w:szCs w:val="20"/>
              </w:rPr>
              <w:t xml:space="preserve">ERPC Deviation Bill to GRIDCO </w:t>
            </w:r>
          </w:p>
        </w:tc>
      </w:tr>
      <w:tr w:rsidR="002D4D34" w:rsidTr="005D7A92">
        <w:trPr>
          <w:trHeight w:val="1895"/>
        </w:trPr>
        <w:tc>
          <w:tcPr>
            <w:tcW w:w="1910" w:type="dxa"/>
            <w:tcBorders>
              <w:top w:val="nil"/>
              <w:left w:val="single" w:sz="4" w:space="0" w:color="auto"/>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b/>
                <w:bCs/>
                <w:sz w:val="20"/>
                <w:szCs w:val="20"/>
              </w:rPr>
            </w:pPr>
            <w:r>
              <w:rPr>
                <w:rFonts w:ascii="Arial" w:hAnsi="Arial" w:cs="Arial"/>
                <w:b/>
                <w:bCs/>
                <w:sz w:val="20"/>
                <w:szCs w:val="20"/>
              </w:rPr>
              <w:t>WEEK DURATION</w:t>
            </w:r>
          </w:p>
        </w:tc>
        <w:tc>
          <w:tcPr>
            <w:tcW w:w="1150" w:type="dxa"/>
            <w:tcBorders>
              <w:top w:val="nil"/>
              <w:left w:val="nil"/>
              <w:bottom w:val="single" w:sz="4" w:space="0" w:color="auto"/>
              <w:right w:val="single" w:sz="4" w:space="0" w:color="auto"/>
            </w:tcBorders>
            <w:shd w:val="clear" w:color="auto" w:fill="auto"/>
            <w:vAlign w:val="center"/>
            <w:hideMark/>
          </w:tcPr>
          <w:p w:rsidR="002D4D34" w:rsidRDefault="002D4D34" w:rsidP="00E52EAD">
            <w:pPr>
              <w:jc w:val="center"/>
              <w:rPr>
                <w:rFonts w:ascii="Arial" w:hAnsi="Arial" w:cs="Arial"/>
                <w:b/>
                <w:bCs/>
                <w:sz w:val="20"/>
                <w:szCs w:val="20"/>
              </w:rPr>
            </w:pPr>
            <w:r>
              <w:rPr>
                <w:rFonts w:ascii="Arial" w:hAnsi="Arial" w:cs="Arial"/>
                <w:b/>
                <w:bCs/>
                <w:sz w:val="20"/>
                <w:szCs w:val="20"/>
              </w:rPr>
              <w:t>DISCOMS Schedule (in MWH)</w:t>
            </w:r>
          </w:p>
        </w:tc>
        <w:tc>
          <w:tcPr>
            <w:tcW w:w="1150" w:type="dxa"/>
            <w:tcBorders>
              <w:top w:val="nil"/>
              <w:left w:val="nil"/>
              <w:bottom w:val="single" w:sz="4" w:space="0" w:color="auto"/>
              <w:right w:val="single" w:sz="4" w:space="0" w:color="auto"/>
            </w:tcBorders>
            <w:shd w:val="clear" w:color="auto" w:fill="auto"/>
            <w:vAlign w:val="center"/>
            <w:hideMark/>
          </w:tcPr>
          <w:p w:rsidR="002D4D34" w:rsidRDefault="002D4D34" w:rsidP="00E52EAD">
            <w:pPr>
              <w:jc w:val="center"/>
              <w:rPr>
                <w:rFonts w:ascii="Arial" w:hAnsi="Arial" w:cs="Arial"/>
                <w:b/>
                <w:bCs/>
                <w:sz w:val="20"/>
                <w:szCs w:val="20"/>
              </w:rPr>
            </w:pPr>
            <w:r>
              <w:rPr>
                <w:rFonts w:ascii="Arial" w:hAnsi="Arial" w:cs="Arial"/>
                <w:b/>
                <w:bCs/>
                <w:sz w:val="20"/>
                <w:szCs w:val="20"/>
              </w:rPr>
              <w:t>DISCOMS Drawal (in MWH)</w:t>
            </w:r>
          </w:p>
        </w:tc>
        <w:tc>
          <w:tcPr>
            <w:tcW w:w="1117" w:type="dxa"/>
            <w:tcBorders>
              <w:top w:val="nil"/>
              <w:left w:val="nil"/>
              <w:bottom w:val="single" w:sz="4" w:space="0" w:color="auto"/>
              <w:right w:val="single" w:sz="4" w:space="0" w:color="auto"/>
            </w:tcBorders>
            <w:shd w:val="clear" w:color="auto" w:fill="auto"/>
            <w:vAlign w:val="center"/>
            <w:hideMark/>
          </w:tcPr>
          <w:p w:rsidR="002D4D34" w:rsidRDefault="002D4D34" w:rsidP="00E52EAD">
            <w:pPr>
              <w:jc w:val="center"/>
              <w:rPr>
                <w:rFonts w:ascii="Arial" w:hAnsi="Arial" w:cs="Arial"/>
                <w:b/>
                <w:bCs/>
                <w:sz w:val="20"/>
                <w:szCs w:val="20"/>
              </w:rPr>
            </w:pPr>
            <w:r>
              <w:rPr>
                <w:rFonts w:ascii="Arial" w:hAnsi="Arial" w:cs="Arial"/>
                <w:b/>
                <w:bCs/>
                <w:sz w:val="20"/>
                <w:szCs w:val="20"/>
              </w:rPr>
              <w:t>Deviation drawal</w:t>
            </w:r>
          </w:p>
        </w:tc>
        <w:tc>
          <w:tcPr>
            <w:tcW w:w="1117" w:type="dxa"/>
            <w:tcBorders>
              <w:top w:val="nil"/>
              <w:left w:val="nil"/>
              <w:bottom w:val="single" w:sz="4" w:space="0" w:color="auto"/>
              <w:right w:val="single" w:sz="4" w:space="0" w:color="auto"/>
            </w:tcBorders>
            <w:shd w:val="clear" w:color="auto" w:fill="auto"/>
            <w:vAlign w:val="center"/>
            <w:hideMark/>
          </w:tcPr>
          <w:p w:rsidR="002D4D34" w:rsidRDefault="002D4D34" w:rsidP="00E52EAD">
            <w:pPr>
              <w:jc w:val="center"/>
              <w:rPr>
                <w:rFonts w:ascii="Arial" w:hAnsi="Arial" w:cs="Arial"/>
                <w:b/>
                <w:bCs/>
                <w:sz w:val="20"/>
                <w:szCs w:val="20"/>
              </w:rPr>
            </w:pPr>
            <w:r>
              <w:rPr>
                <w:rFonts w:ascii="Arial" w:hAnsi="Arial" w:cs="Arial"/>
                <w:b/>
                <w:bCs/>
                <w:sz w:val="20"/>
                <w:szCs w:val="20"/>
              </w:rPr>
              <w:t>Deviation Charge payable (Rs.In Lacs)</w:t>
            </w:r>
          </w:p>
        </w:tc>
        <w:tc>
          <w:tcPr>
            <w:tcW w:w="1106" w:type="dxa"/>
            <w:tcBorders>
              <w:top w:val="nil"/>
              <w:left w:val="nil"/>
              <w:bottom w:val="single" w:sz="4" w:space="0" w:color="auto"/>
              <w:right w:val="single" w:sz="4" w:space="0" w:color="auto"/>
            </w:tcBorders>
            <w:shd w:val="clear" w:color="auto" w:fill="auto"/>
            <w:vAlign w:val="center"/>
            <w:hideMark/>
          </w:tcPr>
          <w:p w:rsidR="002D4D34" w:rsidRDefault="002D4D34" w:rsidP="00E52EAD">
            <w:pPr>
              <w:jc w:val="center"/>
              <w:rPr>
                <w:rFonts w:ascii="Arial" w:hAnsi="Arial" w:cs="Arial"/>
                <w:b/>
                <w:bCs/>
                <w:sz w:val="20"/>
                <w:szCs w:val="20"/>
              </w:rPr>
            </w:pPr>
            <w:r>
              <w:rPr>
                <w:rFonts w:ascii="Arial" w:hAnsi="Arial" w:cs="Arial"/>
                <w:b/>
                <w:bCs/>
                <w:sz w:val="20"/>
                <w:szCs w:val="20"/>
              </w:rPr>
              <w:t xml:space="preserve">CS Schedule of GRIDCO MWH </w:t>
            </w:r>
          </w:p>
        </w:tc>
        <w:tc>
          <w:tcPr>
            <w:tcW w:w="1016" w:type="dxa"/>
            <w:tcBorders>
              <w:top w:val="nil"/>
              <w:left w:val="nil"/>
              <w:bottom w:val="single" w:sz="4" w:space="0" w:color="auto"/>
              <w:right w:val="single" w:sz="4" w:space="0" w:color="auto"/>
            </w:tcBorders>
            <w:shd w:val="clear" w:color="auto" w:fill="auto"/>
            <w:vAlign w:val="center"/>
            <w:hideMark/>
          </w:tcPr>
          <w:p w:rsidR="002D4D34" w:rsidRDefault="002D4D34" w:rsidP="00E52EAD">
            <w:pPr>
              <w:jc w:val="center"/>
              <w:rPr>
                <w:rFonts w:ascii="Arial" w:hAnsi="Arial" w:cs="Arial"/>
                <w:b/>
                <w:bCs/>
                <w:sz w:val="20"/>
                <w:szCs w:val="20"/>
              </w:rPr>
            </w:pPr>
            <w:r>
              <w:rPr>
                <w:rFonts w:ascii="Arial" w:hAnsi="Arial" w:cs="Arial"/>
                <w:b/>
                <w:bCs/>
                <w:sz w:val="20"/>
                <w:szCs w:val="20"/>
              </w:rPr>
              <w:t xml:space="preserve">CS Actual Drawal of GRIDCO MWH </w:t>
            </w:r>
          </w:p>
        </w:tc>
        <w:tc>
          <w:tcPr>
            <w:tcW w:w="1117" w:type="dxa"/>
            <w:tcBorders>
              <w:top w:val="nil"/>
              <w:left w:val="nil"/>
              <w:bottom w:val="single" w:sz="4" w:space="0" w:color="auto"/>
              <w:right w:val="single" w:sz="4" w:space="0" w:color="auto"/>
            </w:tcBorders>
            <w:shd w:val="clear" w:color="auto" w:fill="auto"/>
            <w:vAlign w:val="center"/>
            <w:hideMark/>
          </w:tcPr>
          <w:p w:rsidR="002D4D34" w:rsidRDefault="002D4D34" w:rsidP="00E52EAD">
            <w:pPr>
              <w:jc w:val="center"/>
              <w:rPr>
                <w:rFonts w:ascii="Arial" w:hAnsi="Arial" w:cs="Arial"/>
                <w:b/>
                <w:bCs/>
                <w:sz w:val="20"/>
                <w:szCs w:val="20"/>
              </w:rPr>
            </w:pPr>
            <w:r>
              <w:rPr>
                <w:rFonts w:ascii="Arial" w:hAnsi="Arial" w:cs="Arial"/>
                <w:b/>
                <w:bCs/>
                <w:sz w:val="20"/>
                <w:szCs w:val="20"/>
              </w:rPr>
              <w:t>C S   Deviation (in MWH)</w:t>
            </w:r>
          </w:p>
        </w:tc>
        <w:tc>
          <w:tcPr>
            <w:tcW w:w="1195" w:type="dxa"/>
            <w:tcBorders>
              <w:top w:val="nil"/>
              <w:left w:val="nil"/>
              <w:bottom w:val="single" w:sz="4" w:space="0" w:color="auto"/>
              <w:right w:val="single" w:sz="4" w:space="0" w:color="auto"/>
            </w:tcBorders>
            <w:shd w:val="clear" w:color="auto" w:fill="auto"/>
            <w:vAlign w:val="center"/>
            <w:hideMark/>
          </w:tcPr>
          <w:p w:rsidR="002D4D34" w:rsidRDefault="002D4D34" w:rsidP="00E52EAD">
            <w:pPr>
              <w:jc w:val="center"/>
              <w:rPr>
                <w:rFonts w:ascii="Arial" w:hAnsi="Arial" w:cs="Arial"/>
                <w:b/>
                <w:bCs/>
                <w:sz w:val="20"/>
                <w:szCs w:val="20"/>
              </w:rPr>
            </w:pPr>
            <w:r>
              <w:rPr>
                <w:rFonts w:ascii="Arial" w:hAnsi="Arial" w:cs="Arial"/>
                <w:b/>
                <w:bCs/>
                <w:sz w:val="20"/>
                <w:szCs w:val="20"/>
              </w:rPr>
              <w:t xml:space="preserve">Deviation Charge receivable by GRIDCO (Rs.In Lacs) </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31/03/2014 to 06/04/2014</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-500285</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-499302</w:t>
            </w:r>
          </w:p>
        </w:tc>
        <w:tc>
          <w:tcPr>
            <w:tcW w:w="1117" w:type="dxa"/>
            <w:tcBorders>
              <w:top w:val="nil"/>
              <w:left w:val="nil"/>
              <w:bottom w:val="single" w:sz="4" w:space="0" w:color="auto"/>
              <w:right w:val="single" w:sz="4" w:space="0" w:color="auto"/>
            </w:tcBorders>
            <w:shd w:val="clear" w:color="auto" w:fill="auto"/>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983</w:t>
            </w:r>
          </w:p>
        </w:tc>
        <w:tc>
          <w:tcPr>
            <w:tcW w:w="1117" w:type="dxa"/>
            <w:tcBorders>
              <w:top w:val="nil"/>
              <w:left w:val="nil"/>
              <w:bottom w:val="single" w:sz="4" w:space="0" w:color="auto"/>
              <w:right w:val="single" w:sz="4" w:space="0" w:color="auto"/>
            </w:tcBorders>
            <w:shd w:val="clear" w:color="auto" w:fill="auto"/>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303</w:t>
            </w:r>
          </w:p>
        </w:tc>
        <w:tc>
          <w:tcPr>
            <w:tcW w:w="110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159914</w:t>
            </w:r>
          </w:p>
        </w:tc>
        <w:tc>
          <w:tcPr>
            <w:tcW w:w="101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158640</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1274</w:t>
            </w:r>
          </w:p>
        </w:tc>
        <w:tc>
          <w:tcPr>
            <w:tcW w:w="1195"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114</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 xml:space="preserve">07/04/2014 to </w:t>
            </w:r>
            <w:r>
              <w:rPr>
                <w:rFonts w:ascii="Arial" w:hAnsi="Arial" w:cs="Arial"/>
                <w:color w:val="000000"/>
                <w:sz w:val="20"/>
                <w:szCs w:val="20"/>
              </w:rPr>
              <w:lastRenderedPageBreak/>
              <w:t>13/04/2014</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lastRenderedPageBreak/>
              <w:t>-487871</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6897</w:t>
            </w:r>
          </w:p>
        </w:tc>
        <w:tc>
          <w:tcPr>
            <w:tcW w:w="1117" w:type="dxa"/>
            <w:tcBorders>
              <w:top w:val="nil"/>
              <w:left w:val="nil"/>
              <w:bottom w:val="single" w:sz="4" w:space="0" w:color="auto"/>
              <w:right w:val="single" w:sz="4" w:space="0" w:color="auto"/>
            </w:tcBorders>
            <w:shd w:val="clear" w:color="auto" w:fill="auto"/>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6897</w:t>
            </w:r>
          </w:p>
        </w:tc>
        <w:tc>
          <w:tcPr>
            <w:tcW w:w="1117" w:type="dxa"/>
            <w:tcBorders>
              <w:top w:val="nil"/>
              <w:left w:val="nil"/>
              <w:bottom w:val="single" w:sz="4" w:space="0" w:color="auto"/>
              <w:right w:val="single" w:sz="4" w:space="0" w:color="auto"/>
            </w:tcBorders>
            <w:shd w:val="clear" w:color="auto" w:fill="auto"/>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288</w:t>
            </w:r>
          </w:p>
        </w:tc>
        <w:tc>
          <w:tcPr>
            <w:tcW w:w="110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134368</w:t>
            </w:r>
          </w:p>
        </w:tc>
        <w:tc>
          <w:tcPr>
            <w:tcW w:w="101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132784</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1584</w:t>
            </w:r>
          </w:p>
        </w:tc>
        <w:tc>
          <w:tcPr>
            <w:tcW w:w="1195"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136</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lastRenderedPageBreak/>
              <w:t>14/04/2014 to 20/04/2014</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-483004</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-491758</w:t>
            </w:r>
          </w:p>
        </w:tc>
        <w:tc>
          <w:tcPr>
            <w:tcW w:w="1117" w:type="dxa"/>
            <w:tcBorders>
              <w:top w:val="nil"/>
              <w:left w:val="nil"/>
              <w:bottom w:val="single" w:sz="4" w:space="0" w:color="auto"/>
              <w:right w:val="single" w:sz="4" w:space="0" w:color="auto"/>
            </w:tcBorders>
            <w:shd w:val="clear" w:color="auto" w:fill="auto"/>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-8754</w:t>
            </w:r>
          </w:p>
        </w:tc>
        <w:tc>
          <w:tcPr>
            <w:tcW w:w="1117" w:type="dxa"/>
            <w:tcBorders>
              <w:top w:val="nil"/>
              <w:left w:val="nil"/>
              <w:bottom w:val="single" w:sz="4" w:space="0" w:color="auto"/>
              <w:right w:val="single" w:sz="4" w:space="0" w:color="auto"/>
            </w:tcBorders>
            <w:shd w:val="clear" w:color="auto" w:fill="auto"/>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682</w:t>
            </w:r>
          </w:p>
        </w:tc>
        <w:tc>
          <w:tcPr>
            <w:tcW w:w="110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133899</w:t>
            </w:r>
          </w:p>
        </w:tc>
        <w:tc>
          <w:tcPr>
            <w:tcW w:w="101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136119</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-2220</w:t>
            </w:r>
          </w:p>
        </w:tc>
        <w:tc>
          <w:tcPr>
            <w:tcW w:w="1195"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21</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21/04/2014 to 27/04/2014</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-495353</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-509718</w:t>
            </w:r>
          </w:p>
        </w:tc>
        <w:tc>
          <w:tcPr>
            <w:tcW w:w="1117" w:type="dxa"/>
            <w:tcBorders>
              <w:top w:val="nil"/>
              <w:left w:val="nil"/>
              <w:bottom w:val="single" w:sz="4" w:space="0" w:color="auto"/>
              <w:right w:val="single" w:sz="4" w:space="0" w:color="auto"/>
            </w:tcBorders>
            <w:shd w:val="clear" w:color="auto" w:fill="auto"/>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-14365</w:t>
            </w:r>
          </w:p>
        </w:tc>
        <w:tc>
          <w:tcPr>
            <w:tcW w:w="1117" w:type="dxa"/>
            <w:tcBorders>
              <w:top w:val="nil"/>
              <w:left w:val="nil"/>
              <w:bottom w:val="single" w:sz="4" w:space="0" w:color="auto"/>
              <w:right w:val="single" w:sz="4" w:space="0" w:color="auto"/>
            </w:tcBorders>
            <w:shd w:val="clear" w:color="auto" w:fill="auto"/>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1116</w:t>
            </w:r>
          </w:p>
        </w:tc>
        <w:tc>
          <w:tcPr>
            <w:tcW w:w="110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154000</w:t>
            </w:r>
          </w:p>
        </w:tc>
        <w:tc>
          <w:tcPr>
            <w:tcW w:w="101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148618</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5382</w:t>
            </w:r>
          </w:p>
        </w:tc>
        <w:tc>
          <w:tcPr>
            <w:tcW w:w="1195"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330</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Total</w:t>
            </w:r>
          </w:p>
        </w:tc>
        <w:tc>
          <w:tcPr>
            <w:tcW w:w="1150"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-1966513</w:t>
            </w:r>
          </w:p>
        </w:tc>
        <w:tc>
          <w:tcPr>
            <w:tcW w:w="1150"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-1493881</w:t>
            </w:r>
          </w:p>
        </w:tc>
        <w:tc>
          <w:tcPr>
            <w:tcW w:w="1117" w:type="dxa"/>
            <w:tcBorders>
              <w:top w:val="nil"/>
              <w:left w:val="nil"/>
              <w:bottom w:val="single" w:sz="4" w:space="0" w:color="auto"/>
              <w:right w:val="single" w:sz="4" w:space="0" w:color="auto"/>
            </w:tcBorders>
            <w:shd w:val="clear" w:color="auto" w:fill="auto"/>
            <w:vAlign w:val="center"/>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-15239</w:t>
            </w:r>
          </w:p>
        </w:tc>
        <w:tc>
          <w:tcPr>
            <w:tcW w:w="1117" w:type="dxa"/>
            <w:tcBorders>
              <w:top w:val="nil"/>
              <w:left w:val="nil"/>
              <w:bottom w:val="single" w:sz="4" w:space="0" w:color="auto"/>
              <w:right w:val="single" w:sz="4" w:space="0" w:color="auto"/>
            </w:tcBorders>
            <w:shd w:val="clear" w:color="auto" w:fill="auto"/>
            <w:vAlign w:val="center"/>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2390</w:t>
            </w:r>
          </w:p>
        </w:tc>
        <w:tc>
          <w:tcPr>
            <w:tcW w:w="110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582181</w:t>
            </w:r>
          </w:p>
        </w:tc>
        <w:tc>
          <w:tcPr>
            <w:tcW w:w="101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576161</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6021</w:t>
            </w:r>
          </w:p>
        </w:tc>
        <w:tc>
          <w:tcPr>
            <w:tcW w:w="1195"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602</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28/04/2014 to 04/05/2014</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-494875</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-496021</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-1145</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885</w:t>
            </w:r>
          </w:p>
        </w:tc>
        <w:tc>
          <w:tcPr>
            <w:tcW w:w="110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146623</w:t>
            </w:r>
          </w:p>
        </w:tc>
        <w:tc>
          <w:tcPr>
            <w:tcW w:w="101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144526</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2097</w:t>
            </w:r>
          </w:p>
        </w:tc>
        <w:tc>
          <w:tcPr>
            <w:tcW w:w="1195"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179</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05/05/2014 to 11/05/2014</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-483850</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-485985</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-2136</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539</w:t>
            </w:r>
          </w:p>
        </w:tc>
        <w:tc>
          <w:tcPr>
            <w:tcW w:w="110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157821</w:t>
            </w:r>
          </w:p>
        </w:tc>
        <w:tc>
          <w:tcPr>
            <w:tcW w:w="101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167826</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-10005</w:t>
            </w:r>
          </w:p>
        </w:tc>
        <w:tc>
          <w:tcPr>
            <w:tcW w:w="1195"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-89</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12/05/2014 to 18/05/2014</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-490848</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-521406</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-30558</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1767</w:t>
            </w:r>
          </w:p>
        </w:tc>
        <w:tc>
          <w:tcPr>
            <w:tcW w:w="110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149027</w:t>
            </w:r>
          </w:p>
        </w:tc>
        <w:tc>
          <w:tcPr>
            <w:tcW w:w="101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151673</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-2646</w:t>
            </w:r>
          </w:p>
        </w:tc>
        <w:tc>
          <w:tcPr>
            <w:tcW w:w="1195"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-57</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19/05/2014 to 25/05/2014</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-506953</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-508078</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-1125</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905</w:t>
            </w:r>
          </w:p>
        </w:tc>
        <w:tc>
          <w:tcPr>
            <w:tcW w:w="110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149895</w:t>
            </w:r>
          </w:p>
        </w:tc>
        <w:tc>
          <w:tcPr>
            <w:tcW w:w="101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142439</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7456</w:t>
            </w:r>
          </w:p>
        </w:tc>
        <w:tc>
          <w:tcPr>
            <w:tcW w:w="1195"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276</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26/05/2014 to 01/06/2014</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-449734</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-443420</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6314</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686</w:t>
            </w:r>
          </w:p>
        </w:tc>
        <w:tc>
          <w:tcPr>
            <w:tcW w:w="110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136079</w:t>
            </w:r>
          </w:p>
        </w:tc>
        <w:tc>
          <w:tcPr>
            <w:tcW w:w="101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136177</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-98</w:t>
            </w:r>
          </w:p>
        </w:tc>
        <w:tc>
          <w:tcPr>
            <w:tcW w:w="1195"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138</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Total</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-2426260</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-2454910</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-28649</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4781</w:t>
            </w:r>
          </w:p>
        </w:tc>
        <w:tc>
          <w:tcPr>
            <w:tcW w:w="110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739445</w:t>
            </w:r>
          </w:p>
        </w:tc>
        <w:tc>
          <w:tcPr>
            <w:tcW w:w="101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742642</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-3197</w:t>
            </w:r>
          </w:p>
        </w:tc>
        <w:tc>
          <w:tcPr>
            <w:tcW w:w="1195"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446</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02/06/2014 to 08/06/2014</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-486316</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-502442</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-16126</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1384</w:t>
            </w:r>
          </w:p>
        </w:tc>
        <w:tc>
          <w:tcPr>
            <w:tcW w:w="110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113087</w:t>
            </w:r>
          </w:p>
        </w:tc>
        <w:tc>
          <w:tcPr>
            <w:tcW w:w="101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113939</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-852</w:t>
            </w:r>
          </w:p>
        </w:tc>
        <w:tc>
          <w:tcPr>
            <w:tcW w:w="1195"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-153</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09/06/2014 to 15/06/2014</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-500648</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-513149</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-12500</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1420</w:t>
            </w:r>
          </w:p>
        </w:tc>
        <w:tc>
          <w:tcPr>
            <w:tcW w:w="110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80587</w:t>
            </w:r>
          </w:p>
        </w:tc>
        <w:tc>
          <w:tcPr>
            <w:tcW w:w="101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89177</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-8590</w:t>
            </w:r>
          </w:p>
        </w:tc>
        <w:tc>
          <w:tcPr>
            <w:tcW w:w="1195"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-170</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16/06/2014 to 22/06/2014</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-456680</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-480082</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-23402</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1032</w:t>
            </w:r>
          </w:p>
        </w:tc>
        <w:tc>
          <w:tcPr>
            <w:tcW w:w="110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142341</w:t>
            </w:r>
          </w:p>
        </w:tc>
        <w:tc>
          <w:tcPr>
            <w:tcW w:w="101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154257</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-11915</w:t>
            </w:r>
          </w:p>
        </w:tc>
        <w:tc>
          <w:tcPr>
            <w:tcW w:w="1195"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-66</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23/06/2014 to 29/06/2014</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-432662</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-487332</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-54670</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4264</w:t>
            </w:r>
          </w:p>
        </w:tc>
        <w:tc>
          <w:tcPr>
            <w:tcW w:w="110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144280</w:t>
            </w:r>
          </w:p>
        </w:tc>
        <w:tc>
          <w:tcPr>
            <w:tcW w:w="101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170079</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-25799</w:t>
            </w:r>
          </w:p>
        </w:tc>
        <w:tc>
          <w:tcPr>
            <w:tcW w:w="1195"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-934</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Total</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-1876307</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-1983004</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-106697</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8099</w:t>
            </w:r>
          </w:p>
        </w:tc>
        <w:tc>
          <w:tcPr>
            <w:tcW w:w="1106"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480296</w:t>
            </w:r>
          </w:p>
        </w:tc>
        <w:tc>
          <w:tcPr>
            <w:tcW w:w="1016"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527452</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-47156</w:t>
            </w:r>
          </w:p>
        </w:tc>
        <w:tc>
          <w:tcPr>
            <w:tcW w:w="1195"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-1324</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30/06/2014 to 06/07/2014</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-434192</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-466343</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-32151</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1970</w:t>
            </w:r>
          </w:p>
        </w:tc>
        <w:tc>
          <w:tcPr>
            <w:tcW w:w="110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180674</w:t>
            </w:r>
          </w:p>
        </w:tc>
        <w:tc>
          <w:tcPr>
            <w:tcW w:w="101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194872</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-14198</w:t>
            </w:r>
          </w:p>
        </w:tc>
        <w:tc>
          <w:tcPr>
            <w:tcW w:w="1195"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-113</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07/07/2014 to 13/07/2014</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-441473</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-471973</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-30500</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3039</w:t>
            </w:r>
          </w:p>
        </w:tc>
        <w:tc>
          <w:tcPr>
            <w:tcW w:w="110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197168</w:t>
            </w:r>
          </w:p>
        </w:tc>
        <w:tc>
          <w:tcPr>
            <w:tcW w:w="101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205029</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-7861</w:t>
            </w:r>
          </w:p>
        </w:tc>
        <w:tc>
          <w:tcPr>
            <w:tcW w:w="1195"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217</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14/07/2014 to 20/07/2014</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-447729</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-472530</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-24802</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1068</w:t>
            </w:r>
          </w:p>
        </w:tc>
        <w:tc>
          <w:tcPr>
            <w:tcW w:w="110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193692</w:t>
            </w:r>
          </w:p>
        </w:tc>
        <w:tc>
          <w:tcPr>
            <w:tcW w:w="101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207588</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-13896</w:t>
            </w:r>
          </w:p>
        </w:tc>
        <w:tc>
          <w:tcPr>
            <w:tcW w:w="1195"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-189</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21/07/2014 to 27/07/2014</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-440242</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-455289</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-15047</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1457</w:t>
            </w:r>
          </w:p>
        </w:tc>
        <w:tc>
          <w:tcPr>
            <w:tcW w:w="110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162055</w:t>
            </w:r>
          </w:p>
        </w:tc>
        <w:tc>
          <w:tcPr>
            <w:tcW w:w="101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159531</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2524</w:t>
            </w:r>
          </w:p>
        </w:tc>
        <w:tc>
          <w:tcPr>
            <w:tcW w:w="1195"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269</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Total</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-1763635</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-1866135</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-102499</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7535</w:t>
            </w:r>
          </w:p>
        </w:tc>
        <w:tc>
          <w:tcPr>
            <w:tcW w:w="1106"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733588</w:t>
            </w:r>
          </w:p>
        </w:tc>
        <w:tc>
          <w:tcPr>
            <w:tcW w:w="1016"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767019</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-33431</w:t>
            </w:r>
          </w:p>
        </w:tc>
        <w:tc>
          <w:tcPr>
            <w:tcW w:w="1195"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183</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28/07/2014 to 03/08/2014</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-450373</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-465330</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-14956</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1038</w:t>
            </w:r>
          </w:p>
        </w:tc>
        <w:tc>
          <w:tcPr>
            <w:tcW w:w="110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170756</w:t>
            </w:r>
          </w:p>
        </w:tc>
        <w:tc>
          <w:tcPr>
            <w:tcW w:w="101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166917</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3839</w:t>
            </w:r>
          </w:p>
        </w:tc>
        <w:tc>
          <w:tcPr>
            <w:tcW w:w="1195"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376</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04/08/2014 to 10/08/2014</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-444594</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-443904</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690</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697</w:t>
            </w:r>
          </w:p>
        </w:tc>
        <w:tc>
          <w:tcPr>
            <w:tcW w:w="110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127388</w:t>
            </w:r>
          </w:p>
        </w:tc>
        <w:tc>
          <w:tcPr>
            <w:tcW w:w="101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126401</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986</w:t>
            </w:r>
          </w:p>
        </w:tc>
        <w:tc>
          <w:tcPr>
            <w:tcW w:w="1195"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82</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11/08/2014 to 17/08/2014</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-469881</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-466834</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3047</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349</w:t>
            </w:r>
          </w:p>
        </w:tc>
        <w:tc>
          <w:tcPr>
            <w:tcW w:w="110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142684</w:t>
            </w:r>
          </w:p>
        </w:tc>
        <w:tc>
          <w:tcPr>
            <w:tcW w:w="101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135867</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6818</w:t>
            </w:r>
          </w:p>
        </w:tc>
        <w:tc>
          <w:tcPr>
            <w:tcW w:w="1195"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364</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18/08/2014 to 24/08/2014</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-473143</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-475509</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-2367</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1013</w:t>
            </w:r>
          </w:p>
        </w:tc>
        <w:tc>
          <w:tcPr>
            <w:tcW w:w="110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76940</w:t>
            </w:r>
          </w:p>
        </w:tc>
        <w:tc>
          <w:tcPr>
            <w:tcW w:w="101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67868</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9072</w:t>
            </w:r>
          </w:p>
        </w:tc>
        <w:tc>
          <w:tcPr>
            <w:tcW w:w="1195"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469</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25/08/2014 to 31/08/2014</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-482313</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-473534</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8779</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560</w:t>
            </w:r>
          </w:p>
        </w:tc>
        <w:tc>
          <w:tcPr>
            <w:tcW w:w="110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76741</w:t>
            </w:r>
          </w:p>
        </w:tc>
        <w:tc>
          <w:tcPr>
            <w:tcW w:w="101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79443</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-2701</w:t>
            </w:r>
          </w:p>
        </w:tc>
        <w:tc>
          <w:tcPr>
            <w:tcW w:w="1195"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-129</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 xml:space="preserve">Total </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-2320304</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-2325110</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-4807</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3657</w:t>
            </w:r>
          </w:p>
        </w:tc>
        <w:tc>
          <w:tcPr>
            <w:tcW w:w="1106"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594509</w:t>
            </w:r>
          </w:p>
        </w:tc>
        <w:tc>
          <w:tcPr>
            <w:tcW w:w="1016"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576496</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18013</w:t>
            </w:r>
          </w:p>
        </w:tc>
        <w:tc>
          <w:tcPr>
            <w:tcW w:w="1195"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1161</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01/09/2014 to 07/09/2014</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-467635</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-462878</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4757</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294</w:t>
            </w:r>
          </w:p>
        </w:tc>
        <w:tc>
          <w:tcPr>
            <w:tcW w:w="110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95635</w:t>
            </w:r>
          </w:p>
        </w:tc>
        <w:tc>
          <w:tcPr>
            <w:tcW w:w="101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98080</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-2445</w:t>
            </w:r>
          </w:p>
        </w:tc>
        <w:tc>
          <w:tcPr>
            <w:tcW w:w="1195"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6</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08/09/2014 to 14/09/2014</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-469710</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-487070</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-17361</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970</w:t>
            </w:r>
          </w:p>
        </w:tc>
        <w:tc>
          <w:tcPr>
            <w:tcW w:w="110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152125</w:t>
            </w:r>
          </w:p>
        </w:tc>
        <w:tc>
          <w:tcPr>
            <w:tcW w:w="101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151007</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1118</w:t>
            </w:r>
          </w:p>
        </w:tc>
        <w:tc>
          <w:tcPr>
            <w:tcW w:w="1195"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68</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15/09/2014 to 21/09/2014</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-475633</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-489263</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-13630</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731</w:t>
            </w:r>
          </w:p>
        </w:tc>
        <w:tc>
          <w:tcPr>
            <w:tcW w:w="110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107085</w:t>
            </w:r>
          </w:p>
        </w:tc>
        <w:tc>
          <w:tcPr>
            <w:tcW w:w="101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104640</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2445</w:t>
            </w:r>
          </w:p>
        </w:tc>
        <w:tc>
          <w:tcPr>
            <w:tcW w:w="1195"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45</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22/09/2014 to 28/09/2014</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-476889</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-500149</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-23259</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1383</w:t>
            </w:r>
          </w:p>
        </w:tc>
        <w:tc>
          <w:tcPr>
            <w:tcW w:w="110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91916</w:t>
            </w:r>
          </w:p>
        </w:tc>
        <w:tc>
          <w:tcPr>
            <w:tcW w:w="101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92233</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-317</w:t>
            </w:r>
          </w:p>
        </w:tc>
        <w:tc>
          <w:tcPr>
            <w:tcW w:w="1195"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22</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 xml:space="preserve">Total </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-1889867</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-1939361</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-49493</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3378</w:t>
            </w:r>
          </w:p>
        </w:tc>
        <w:tc>
          <w:tcPr>
            <w:tcW w:w="1106"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446761</w:t>
            </w:r>
          </w:p>
        </w:tc>
        <w:tc>
          <w:tcPr>
            <w:tcW w:w="1016"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445959</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802</w:t>
            </w:r>
          </w:p>
        </w:tc>
        <w:tc>
          <w:tcPr>
            <w:tcW w:w="1195"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141</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 </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 </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 </w:t>
            </w:r>
          </w:p>
        </w:tc>
        <w:tc>
          <w:tcPr>
            <w:tcW w:w="110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 </w:t>
            </w:r>
          </w:p>
        </w:tc>
        <w:tc>
          <w:tcPr>
            <w:tcW w:w="1117"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 </w:t>
            </w:r>
          </w:p>
        </w:tc>
        <w:tc>
          <w:tcPr>
            <w:tcW w:w="1195" w:type="dxa"/>
            <w:tcBorders>
              <w:top w:val="nil"/>
              <w:left w:val="nil"/>
              <w:bottom w:val="single" w:sz="4" w:space="0" w:color="auto"/>
              <w:right w:val="single" w:sz="4" w:space="0" w:color="auto"/>
            </w:tcBorders>
            <w:shd w:val="clear" w:color="auto" w:fill="auto"/>
            <w:noWrap/>
            <w:vAlign w:val="center"/>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 </w:t>
            </w:r>
          </w:p>
        </w:tc>
      </w:tr>
      <w:tr w:rsidR="002D4D34" w:rsidTr="005D7A92">
        <w:trPr>
          <w:trHeight w:val="301"/>
        </w:trPr>
        <w:tc>
          <w:tcPr>
            <w:tcW w:w="1910" w:type="dxa"/>
            <w:tcBorders>
              <w:top w:val="nil"/>
              <w:left w:val="single" w:sz="4" w:space="0" w:color="auto"/>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lastRenderedPageBreak/>
              <w:t>31/03/2014 to 28/09/2014</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 </w:t>
            </w:r>
          </w:p>
        </w:tc>
        <w:tc>
          <w:tcPr>
            <w:tcW w:w="1150" w:type="dxa"/>
            <w:tcBorders>
              <w:top w:val="nil"/>
              <w:left w:val="nil"/>
              <w:bottom w:val="single" w:sz="4" w:space="0" w:color="auto"/>
              <w:right w:val="single" w:sz="4" w:space="0" w:color="auto"/>
            </w:tcBorders>
            <w:shd w:val="clear" w:color="auto" w:fill="auto"/>
            <w:noWrap/>
            <w:vAlign w:val="bottom"/>
            <w:hideMark/>
          </w:tcPr>
          <w:p w:rsidR="002D4D34" w:rsidRDefault="002D4D34" w:rsidP="00E52EAD">
            <w:pPr>
              <w:jc w:val="center"/>
              <w:rPr>
                <w:rFonts w:ascii="Arial" w:hAnsi="Arial" w:cs="Arial"/>
                <w:color w:val="000000"/>
                <w:sz w:val="20"/>
                <w:szCs w:val="20"/>
              </w:rPr>
            </w:pPr>
            <w:r>
              <w:rPr>
                <w:rFonts w:ascii="Arial" w:hAnsi="Arial" w:cs="Arial"/>
                <w:color w:val="000000"/>
                <w:sz w:val="20"/>
                <w:szCs w:val="20"/>
              </w:rPr>
              <w:t> </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-307385</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29840</w:t>
            </w:r>
          </w:p>
        </w:tc>
        <w:tc>
          <w:tcPr>
            <w:tcW w:w="1106"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3576780</w:t>
            </w:r>
          </w:p>
        </w:tc>
        <w:tc>
          <w:tcPr>
            <w:tcW w:w="1016"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3635729</w:t>
            </w:r>
          </w:p>
        </w:tc>
        <w:tc>
          <w:tcPr>
            <w:tcW w:w="1117"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-58948</w:t>
            </w:r>
          </w:p>
        </w:tc>
        <w:tc>
          <w:tcPr>
            <w:tcW w:w="1195" w:type="dxa"/>
            <w:tcBorders>
              <w:top w:val="nil"/>
              <w:left w:val="nil"/>
              <w:bottom w:val="single" w:sz="4" w:space="0" w:color="auto"/>
              <w:right w:val="single" w:sz="4" w:space="0" w:color="auto"/>
            </w:tcBorders>
            <w:shd w:val="clear" w:color="auto" w:fill="auto"/>
            <w:vAlign w:val="bottom"/>
            <w:hideMark/>
          </w:tcPr>
          <w:p w:rsidR="002D4D34" w:rsidRDefault="002D4D34" w:rsidP="00E52EAD">
            <w:pPr>
              <w:jc w:val="center"/>
              <w:rPr>
                <w:rFonts w:ascii="Arial" w:hAnsi="Arial" w:cs="Arial"/>
                <w:b/>
                <w:bCs/>
                <w:color w:val="000000"/>
                <w:sz w:val="20"/>
                <w:szCs w:val="20"/>
              </w:rPr>
            </w:pPr>
            <w:r>
              <w:rPr>
                <w:rFonts w:ascii="Arial" w:hAnsi="Arial" w:cs="Arial"/>
                <w:b/>
                <w:bCs/>
                <w:color w:val="000000"/>
                <w:sz w:val="20"/>
                <w:szCs w:val="20"/>
              </w:rPr>
              <w:t>1209</w:t>
            </w:r>
          </w:p>
        </w:tc>
      </w:tr>
    </w:tbl>
    <w:p w:rsidR="002D4D34" w:rsidRDefault="002D4D34" w:rsidP="002D4D34">
      <w:pPr>
        <w:pStyle w:val="ListParagraph"/>
        <w:spacing w:after="0" w:line="360" w:lineRule="auto"/>
        <w:ind w:left="0"/>
        <w:jc w:val="both"/>
      </w:pPr>
    </w:p>
    <w:p w:rsidR="002D4D34" w:rsidRDefault="002D4D34" w:rsidP="002D4D34">
      <w:pPr>
        <w:ind w:left="360"/>
      </w:pPr>
    </w:p>
    <w:p w:rsidR="002D4D34" w:rsidRPr="005D7A92" w:rsidRDefault="002D4D34" w:rsidP="00CF66A5">
      <w:pPr>
        <w:pStyle w:val="ListParagraph"/>
        <w:numPr>
          <w:ilvl w:val="0"/>
          <w:numId w:val="42"/>
        </w:numPr>
        <w:spacing w:after="0" w:line="360" w:lineRule="auto"/>
        <w:ind w:left="360"/>
        <w:jc w:val="both"/>
        <w:rPr>
          <w:rFonts w:ascii="Arial" w:hAnsi="Arial" w:cs="Arial"/>
        </w:rPr>
      </w:pPr>
      <w:r w:rsidRPr="005D7A92">
        <w:rPr>
          <w:rFonts w:ascii="Arial" w:hAnsi="Arial" w:cs="Arial"/>
        </w:rPr>
        <w:t xml:space="preserve">SLDC is taking the schedule of DISCOMs after including Open Access drawl by many consumers in the DISCOMs area. Due to which DISCOMs are being penalized for their deviation from schedule, because SLDC has  included their demands in DISCOMs demand. Open access transaction quantum of consumers like M/s JSPL &amp; M/s FAP ( Joda &amp; Bamani pal)  Etc  are anyhow to be excluded block period wise  from  DISCOM schedule while calculating the deviation settlement charges bills. Whereas OPTCL is deducting  Open access Consumer’s actual  consumption  while preparing the transmission charge bill at month end. The same should have been utilized for computation of Deviation settlement bills also. But when SLDC is  preparing the UI/ Deviation settlement </w:t>
      </w:r>
      <w:r w:rsidR="005D7A92">
        <w:rPr>
          <w:rFonts w:ascii="Arial" w:hAnsi="Arial" w:cs="Arial"/>
        </w:rPr>
        <w:t xml:space="preserve"> charge bill for the DISCOMs.</w:t>
      </w:r>
    </w:p>
    <w:p w:rsidR="002D4D34" w:rsidRPr="005D7A92" w:rsidRDefault="002D4D34" w:rsidP="005D7A92">
      <w:pPr>
        <w:pStyle w:val="ListParagraph"/>
        <w:numPr>
          <w:ilvl w:val="0"/>
          <w:numId w:val="42"/>
        </w:numPr>
        <w:spacing w:after="0" w:line="360" w:lineRule="auto"/>
        <w:ind w:left="360"/>
        <w:jc w:val="both"/>
        <w:rPr>
          <w:rFonts w:ascii="Arial" w:hAnsi="Arial" w:cs="Arial"/>
        </w:rPr>
      </w:pPr>
      <w:r w:rsidRPr="005D7A92">
        <w:rPr>
          <w:rFonts w:ascii="Arial" w:hAnsi="Arial" w:cs="Arial"/>
        </w:rPr>
        <w:t xml:space="preserve">Further it may be revealed from the UI/ Deviation calculation statement provided by SLDC that  the demands of auxiliary transformer consumption of OPTCL grid have not been deducted in their computation which is being done by OPTCL. </w:t>
      </w:r>
    </w:p>
    <w:p w:rsidR="00D80B5B" w:rsidRDefault="002D4D34" w:rsidP="005D7A92">
      <w:pPr>
        <w:pStyle w:val="ListParagraph"/>
        <w:numPr>
          <w:ilvl w:val="0"/>
          <w:numId w:val="42"/>
        </w:numPr>
        <w:spacing w:after="0" w:line="360" w:lineRule="auto"/>
        <w:ind w:left="360"/>
        <w:jc w:val="both"/>
        <w:rPr>
          <w:rFonts w:ascii="Arial" w:hAnsi="Arial" w:cs="Arial"/>
        </w:rPr>
      </w:pPr>
      <w:r w:rsidRPr="005D7A92">
        <w:rPr>
          <w:rFonts w:ascii="Arial" w:hAnsi="Arial" w:cs="Arial"/>
        </w:rPr>
        <w:t>The DISCOMs have disputed all the Deviation settlement charges bills raised by SLDC and requested for revision of all the bills on the above lines.</w:t>
      </w:r>
    </w:p>
    <w:p w:rsidR="005D7A92" w:rsidRPr="005D7A92" w:rsidRDefault="005D7A92" w:rsidP="005D7A92">
      <w:pPr>
        <w:pStyle w:val="ListParagraph"/>
        <w:spacing w:after="0" w:line="360" w:lineRule="auto"/>
        <w:ind w:left="360"/>
        <w:jc w:val="both"/>
        <w:rPr>
          <w:rFonts w:ascii="Arial" w:hAnsi="Arial" w:cs="Arial"/>
        </w:rPr>
      </w:pPr>
    </w:p>
    <w:p w:rsidR="00D80B5B" w:rsidRPr="00CC3D8A" w:rsidRDefault="00D80B5B" w:rsidP="00CF66A5">
      <w:pPr>
        <w:numPr>
          <w:ilvl w:val="0"/>
          <w:numId w:val="43"/>
        </w:numPr>
        <w:spacing w:line="360" w:lineRule="auto"/>
        <w:ind w:hanging="1080"/>
        <w:rPr>
          <w:rFonts w:ascii="Arial" w:hAnsi="Arial" w:cs="Arial"/>
          <w:sz w:val="22"/>
          <w:szCs w:val="22"/>
          <w:u w:val="single"/>
        </w:rPr>
      </w:pPr>
      <w:r w:rsidRPr="00CC3D8A">
        <w:rPr>
          <w:rFonts w:ascii="Arial" w:hAnsi="Arial" w:cs="Arial"/>
          <w:sz w:val="22"/>
          <w:szCs w:val="22"/>
          <w:u w:val="single"/>
        </w:rPr>
        <w:t xml:space="preserve">Operational issues </w:t>
      </w:r>
    </w:p>
    <w:p w:rsidR="002D4D34" w:rsidRPr="00CC3D8A" w:rsidRDefault="002D4D34" w:rsidP="002D4D34">
      <w:pPr>
        <w:pStyle w:val="ListParagraph"/>
        <w:numPr>
          <w:ilvl w:val="1"/>
          <w:numId w:val="17"/>
        </w:numPr>
        <w:spacing w:after="0" w:line="360" w:lineRule="auto"/>
        <w:jc w:val="both"/>
        <w:rPr>
          <w:rFonts w:ascii="Arial" w:hAnsi="Arial" w:cs="Arial"/>
        </w:rPr>
      </w:pPr>
      <w:r w:rsidRPr="00CC3D8A">
        <w:rPr>
          <w:rFonts w:ascii="Arial" w:hAnsi="Arial" w:cs="Arial"/>
        </w:rPr>
        <w:t>It was also directed in the above Order dated 15.01.2014 in case no 40/2013 that. Dumb terminal shall be installed without further delay within one month from the issue of the order in this case . But no dumb terminal has been provided by SLDC .</w:t>
      </w:r>
    </w:p>
    <w:p w:rsidR="002D4D34" w:rsidRPr="00CC3D8A" w:rsidRDefault="002D4D34" w:rsidP="002D4D34">
      <w:pPr>
        <w:pStyle w:val="ListParagraph"/>
        <w:numPr>
          <w:ilvl w:val="1"/>
          <w:numId w:val="17"/>
        </w:numPr>
        <w:spacing w:after="0" w:line="360" w:lineRule="auto"/>
        <w:jc w:val="both"/>
        <w:rPr>
          <w:rFonts w:ascii="Arial" w:hAnsi="Arial" w:cs="Arial"/>
        </w:rPr>
      </w:pPr>
      <w:r w:rsidRPr="00CC3D8A">
        <w:rPr>
          <w:rFonts w:ascii="Arial" w:hAnsi="Arial" w:cs="Arial"/>
        </w:rPr>
        <w:t xml:space="preserve">At times SLDC is imposing restriction the drawal of DISCOMs  when DISCOMs are already under drawing from the allocated schedule. SLDC is also through OPTCL directly disconnecting the feeders of High value consumers and revenue earning feeders without intimating to the DISCOMs. </w:t>
      </w:r>
    </w:p>
    <w:p w:rsidR="002D4D34" w:rsidRPr="00CC3D8A" w:rsidRDefault="002D4D34" w:rsidP="002D4D34">
      <w:pPr>
        <w:pStyle w:val="ListParagraph"/>
        <w:numPr>
          <w:ilvl w:val="1"/>
          <w:numId w:val="17"/>
        </w:numPr>
        <w:spacing w:after="0" w:line="360" w:lineRule="auto"/>
        <w:jc w:val="both"/>
        <w:rPr>
          <w:rFonts w:ascii="Arial" w:hAnsi="Arial" w:cs="Arial"/>
        </w:rPr>
      </w:pPr>
      <w:r w:rsidRPr="00CC3D8A">
        <w:rPr>
          <w:rFonts w:ascii="Arial" w:hAnsi="Arial" w:cs="Arial"/>
          <w:bCs/>
        </w:rPr>
        <w:t xml:space="preserve">It has almost more than two and half years passed after implementation of Intra State ABT (Phase-I) but still SLDC is not adopting  standard procedure for day-ahead schedule allocation to DISCOMs. Most of the times the allocation are made arbitrarily and without any justification.  </w:t>
      </w:r>
    </w:p>
    <w:p w:rsidR="002D4D34" w:rsidRPr="00CC3D8A" w:rsidRDefault="002D4D34" w:rsidP="002D4D34">
      <w:pPr>
        <w:pStyle w:val="ListParagraph"/>
        <w:numPr>
          <w:ilvl w:val="1"/>
          <w:numId w:val="17"/>
        </w:numPr>
        <w:spacing w:after="0" w:line="360" w:lineRule="auto"/>
        <w:jc w:val="both"/>
        <w:rPr>
          <w:rFonts w:ascii="Arial" w:hAnsi="Arial" w:cs="Arial"/>
        </w:rPr>
      </w:pPr>
      <w:r w:rsidRPr="00CC3D8A">
        <w:rPr>
          <w:rFonts w:ascii="Arial" w:hAnsi="Arial" w:cs="Arial"/>
          <w:bCs/>
        </w:rPr>
        <w:t xml:space="preserve">Some time SLDC is allocating the schedule taking last three days drawl of DISCOMs &amp; requisition made by DISCOMs, whichever is higher or </w:t>
      </w:r>
    </w:p>
    <w:p w:rsidR="002D4D34" w:rsidRPr="00CC3D8A" w:rsidRDefault="002D4D34" w:rsidP="002D4D34">
      <w:pPr>
        <w:pStyle w:val="ListParagraph"/>
        <w:numPr>
          <w:ilvl w:val="1"/>
          <w:numId w:val="17"/>
        </w:numPr>
        <w:spacing w:after="0" w:line="360" w:lineRule="auto"/>
        <w:jc w:val="both"/>
        <w:rPr>
          <w:rFonts w:ascii="Arial" w:hAnsi="Arial" w:cs="Arial"/>
        </w:rPr>
      </w:pPr>
      <w:r w:rsidRPr="00CC3D8A">
        <w:rPr>
          <w:rFonts w:ascii="Arial" w:hAnsi="Arial" w:cs="Arial"/>
          <w:bCs/>
        </w:rPr>
        <w:t>Considering  the drawl requisition as per the requisition given by the DISCOMs or</w:t>
      </w:r>
    </w:p>
    <w:p w:rsidR="002D4D34" w:rsidRPr="00CC3D8A" w:rsidRDefault="002D4D34" w:rsidP="002D4D34">
      <w:pPr>
        <w:pStyle w:val="ListParagraph"/>
        <w:numPr>
          <w:ilvl w:val="1"/>
          <w:numId w:val="17"/>
        </w:numPr>
        <w:spacing w:after="0" w:line="360" w:lineRule="auto"/>
        <w:jc w:val="both"/>
        <w:rPr>
          <w:rFonts w:ascii="Arial" w:hAnsi="Arial" w:cs="Arial"/>
        </w:rPr>
      </w:pPr>
      <w:r w:rsidRPr="00CC3D8A">
        <w:rPr>
          <w:rFonts w:ascii="Arial" w:hAnsi="Arial" w:cs="Arial"/>
          <w:bCs/>
        </w:rPr>
        <w:lastRenderedPageBreak/>
        <w:t>Sometimes allocating the drawl schedule much less than the requisition made by DISCOMs only for two to three blocks.</w:t>
      </w:r>
    </w:p>
    <w:p w:rsidR="002D4D34" w:rsidRPr="00CC3D8A" w:rsidRDefault="002D4D34" w:rsidP="002D4D34">
      <w:pPr>
        <w:pStyle w:val="ListParagraph"/>
        <w:numPr>
          <w:ilvl w:val="1"/>
          <w:numId w:val="17"/>
        </w:numPr>
        <w:spacing w:after="0" w:line="360" w:lineRule="auto"/>
        <w:jc w:val="both"/>
        <w:rPr>
          <w:rFonts w:ascii="Arial" w:hAnsi="Arial" w:cs="Arial"/>
        </w:rPr>
      </w:pPr>
      <w:r w:rsidRPr="00CC3D8A">
        <w:rPr>
          <w:rFonts w:ascii="Arial" w:hAnsi="Arial" w:cs="Arial"/>
          <w:bCs/>
        </w:rPr>
        <w:t>Sometimes allocating more than the requisition given by DISCOMs, specially during off peak hours and less schedule during peak hours.</w:t>
      </w:r>
    </w:p>
    <w:p w:rsidR="002D4D34" w:rsidRPr="00CC3D8A" w:rsidRDefault="002D4D34" w:rsidP="002D4D34">
      <w:pPr>
        <w:pStyle w:val="ListParagraph"/>
        <w:numPr>
          <w:ilvl w:val="1"/>
          <w:numId w:val="17"/>
        </w:numPr>
        <w:spacing w:after="0" w:line="360" w:lineRule="auto"/>
        <w:jc w:val="both"/>
        <w:rPr>
          <w:rFonts w:ascii="Arial" w:hAnsi="Arial" w:cs="Arial"/>
        </w:rPr>
      </w:pPr>
      <w:r w:rsidRPr="00CC3D8A">
        <w:rPr>
          <w:rFonts w:ascii="Arial" w:hAnsi="Arial" w:cs="Arial"/>
          <w:bCs/>
        </w:rPr>
        <w:t>SLDC is only considering the upward revision of Schedule submitted by DISCOMs on real time basis.  Most of the times SLDC is  not considering  the downward revision  of Schedule request by DISCOMs in case of there is  a noticeable difference between the schedules and Actual drawl.</w:t>
      </w:r>
    </w:p>
    <w:p w:rsidR="002D4D34" w:rsidRPr="00CC3D8A" w:rsidRDefault="002D4D34" w:rsidP="002D4D34">
      <w:pPr>
        <w:pStyle w:val="ListParagraph"/>
        <w:numPr>
          <w:ilvl w:val="1"/>
          <w:numId w:val="17"/>
        </w:numPr>
        <w:spacing w:after="0" w:line="360" w:lineRule="auto"/>
        <w:jc w:val="both"/>
        <w:rPr>
          <w:rFonts w:ascii="Arial" w:hAnsi="Arial" w:cs="Arial"/>
        </w:rPr>
      </w:pPr>
      <w:r w:rsidRPr="00CC3D8A">
        <w:rPr>
          <w:rFonts w:ascii="Arial" w:hAnsi="Arial" w:cs="Arial"/>
          <w:bCs/>
        </w:rPr>
        <w:t>The drawal data available in the SLDC Dash Board is not correct and thus not matching with the actual drawal of DISCOMs.</w:t>
      </w:r>
    </w:p>
    <w:p w:rsidR="00D80B5B" w:rsidRDefault="00D80B5B" w:rsidP="00D80B5B">
      <w:pPr>
        <w:spacing w:after="200"/>
        <w:ind w:left="1080"/>
        <w:jc w:val="both"/>
      </w:pPr>
    </w:p>
    <w:p w:rsidR="00D80B5B" w:rsidRPr="00CC3D8A" w:rsidRDefault="00D80B5B" w:rsidP="00CC3D8A">
      <w:pPr>
        <w:numPr>
          <w:ilvl w:val="0"/>
          <w:numId w:val="43"/>
        </w:numPr>
        <w:spacing w:line="360" w:lineRule="auto"/>
        <w:ind w:hanging="1080"/>
        <w:rPr>
          <w:rFonts w:ascii="Arial" w:hAnsi="Arial" w:cs="Arial"/>
          <w:sz w:val="22"/>
          <w:szCs w:val="22"/>
          <w:u w:val="single"/>
        </w:rPr>
      </w:pPr>
      <w:r w:rsidRPr="00CC3D8A">
        <w:rPr>
          <w:rFonts w:ascii="Arial" w:hAnsi="Arial" w:cs="Arial"/>
          <w:sz w:val="22"/>
          <w:szCs w:val="22"/>
          <w:u w:val="single"/>
        </w:rPr>
        <w:t xml:space="preserve">  Implementation Issue. </w:t>
      </w:r>
    </w:p>
    <w:p w:rsidR="002D4D34" w:rsidRPr="00CC3D8A" w:rsidRDefault="002D4D34" w:rsidP="002D4D34">
      <w:pPr>
        <w:spacing w:after="200" w:line="360" w:lineRule="auto"/>
        <w:ind w:left="796"/>
        <w:jc w:val="both"/>
        <w:rPr>
          <w:rFonts w:ascii="Arial" w:hAnsi="Arial" w:cs="Arial"/>
          <w:sz w:val="22"/>
          <w:szCs w:val="22"/>
        </w:rPr>
      </w:pPr>
      <w:r w:rsidRPr="00CC3D8A">
        <w:rPr>
          <w:rFonts w:ascii="Arial" w:hAnsi="Arial" w:cs="Arial"/>
          <w:sz w:val="22"/>
          <w:szCs w:val="22"/>
        </w:rPr>
        <w:t xml:space="preserve">It was the direction of the Hon’ble Commission in case 50/2010 that the </w:t>
      </w:r>
      <w:r w:rsidRPr="00CC3D8A">
        <w:rPr>
          <w:rFonts w:ascii="Arial" w:hAnsi="Arial" w:cs="Arial"/>
          <w:b/>
          <w:sz w:val="22"/>
          <w:szCs w:val="22"/>
        </w:rPr>
        <w:t xml:space="preserve">Intra-State ABT ( PHASE-II) </w:t>
      </w:r>
      <w:r w:rsidRPr="00CC3D8A">
        <w:rPr>
          <w:rFonts w:ascii="Arial" w:hAnsi="Arial" w:cs="Arial"/>
          <w:sz w:val="22"/>
          <w:szCs w:val="22"/>
        </w:rPr>
        <w:t xml:space="preserve"> including all generator will be implemented after Six month of Phase -1 by SLDC . It is the responsibility of SLDC to implement phase –II immediately . But till date Mock operation of Phase –II  has not yet been started.  Without implementation of Phase –II,   ABT implementation is not proper and all the terms and conditions of Intra-state ABT Regulations -2007 are complied.  </w:t>
      </w:r>
    </w:p>
    <w:p w:rsidR="002D4D34" w:rsidRPr="00DD34B2" w:rsidRDefault="002D4D34" w:rsidP="002D4D34">
      <w:pPr>
        <w:spacing w:after="200" w:line="360" w:lineRule="auto"/>
        <w:ind w:left="796"/>
        <w:jc w:val="both"/>
        <w:rPr>
          <w:rFonts w:ascii="Calibri" w:hAnsi="Calibri" w:cs="Calibri"/>
          <w:sz w:val="22"/>
          <w:szCs w:val="22"/>
        </w:rPr>
      </w:pPr>
      <w:r w:rsidRPr="00CC3D8A">
        <w:rPr>
          <w:rFonts w:ascii="Arial" w:hAnsi="Arial" w:cs="Arial"/>
          <w:bCs/>
          <w:sz w:val="22"/>
          <w:szCs w:val="22"/>
        </w:rPr>
        <w:t xml:space="preserve">In Intra- state ABT mode of operation  SLDC need to give the entitlement in two parts i.e.  The availability from Hydro Generating stations, Thermal Generating stations , CGP &amp; other source if available for the first part and the Central Sector availability for the second part. Then adding both the parts DISCOM’s entitlement should be given as per their proportionate share allocation.  But till date SLDC is not transparent enough in declaration of Generation Availability . </w:t>
      </w:r>
    </w:p>
    <w:p w:rsidR="00246D4D" w:rsidRPr="00CC3D8A" w:rsidRDefault="00246D4D" w:rsidP="00CF66A5">
      <w:pPr>
        <w:pStyle w:val="Heading1"/>
        <w:numPr>
          <w:ilvl w:val="1"/>
          <w:numId w:val="49"/>
        </w:numPr>
        <w:spacing w:line="360" w:lineRule="auto"/>
        <w:jc w:val="both"/>
        <w:rPr>
          <w:sz w:val="22"/>
          <w:szCs w:val="22"/>
        </w:rPr>
      </w:pPr>
      <w:bookmarkStart w:id="99" w:name="_Toc404940198"/>
      <w:r w:rsidRPr="00CC3D8A">
        <w:rPr>
          <w:sz w:val="22"/>
          <w:szCs w:val="22"/>
        </w:rPr>
        <w:t>Non-implementation of Directions of Hon’ble ATE:</w:t>
      </w:r>
      <w:bookmarkEnd w:id="97"/>
      <w:bookmarkEnd w:id="99"/>
    </w:p>
    <w:p w:rsidR="00246D4D" w:rsidRPr="00CC3D8A" w:rsidRDefault="00246D4D" w:rsidP="00246D4D">
      <w:pPr>
        <w:autoSpaceDE w:val="0"/>
        <w:autoSpaceDN w:val="0"/>
        <w:adjustRightInd w:val="0"/>
        <w:spacing w:after="240" w:line="360" w:lineRule="auto"/>
        <w:ind w:left="720"/>
        <w:jc w:val="both"/>
        <w:rPr>
          <w:rFonts w:ascii="Arial" w:hAnsi="Arial" w:cs="Arial"/>
          <w:b/>
          <w:sz w:val="22"/>
          <w:szCs w:val="22"/>
          <w:lang w:val="en-GB"/>
        </w:rPr>
      </w:pPr>
      <w:r w:rsidRPr="00CC3D8A">
        <w:rPr>
          <w:rFonts w:ascii="Arial" w:hAnsi="Arial" w:cs="Arial"/>
          <w:sz w:val="22"/>
          <w:szCs w:val="22"/>
        </w:rPr>
        <w:t>That, the Hon’ble Tribunal disposed of all the RST appeals filed by the Petitioner through a common judgment dtd.03.07.2013, wherein this Hon’ble Tribunal exhaustively deliberated with all the issues raised through the appeals and issued various directions to the Hon’ble Commission for compliance of the same. The observation of this Hon’ble Tribunal on various issues raised through the appeals and the directions given to the Hon’ble Commission is submitted here-in-below;</w:t>
      </w:r>
    </w:p>
    <w:p w:rsidR="00246D4D" w:rsidRPr="00CC3D8A" w:rsidRDefault="00246D4D" w:rsidP="00246D4D">
      <w:pPr>
        <w:pStyle w:val="Default"/>
        <w:spacing w:line="360" w:lineRule="auto"/>
        <w:ind w:firstLine="720"/>
        <w:jc w:val="both"/>
        <w:rPr>
          <w:rFonts w:ascii="Arial" w:hAnsi="Arial" w:cs="Arial"/>
          <w:b/>
          <w:bCs/>
          <w:iCs/>
          <w:sz w:val="22"/>
          <w:szCs w:val="22"/>
          <w:u w:val="single"/>
        </w:rPr>
      </w:pPr>
      <w:r w:rsidRPr="00CC3D8A">
        <w:rPr>
          <w:rFonts w:ascii="Arial" w:hAnsi="Arial" w:cs="Arial"/>
          <w:b/>
          <w:bCs/>
          <w:iCs/>
          <w:sz w:val="22"/>
          <w:szCs w:val="22"/>
          <w:u w:val="single"/>
        </w:rPr>
        <w:t>Unrealistic distribution loss:</w:t>
      </w:r>
    </w:p>
    <w:p w:rsidR="00246D4D" w:rsidRPr="00CC3D8A" w:rsidRDefault="00246D4D" w:rsidP="00B04A3F">
      <w:pPr>
        <w:pStyle w:val="Default"/>
        <w:numPr>
          <w:ilvl w:val="0"/>
          <w:numId w:val="20"/>
        </w:numPr>
        <w:spacing w:line="360" w:lineRule="auto"/>
        <w:jc w:val="both"/>
        <w:rPr>
          <w:rFonts w:ascii="Arial" w:hAnsi="Arial" w:cs="Arial"/>
          <w:i/>
          <w:iCs/>
          <w:sz w:val="22"/>
          <w:szCs w:val="22"/>
          <w:u w:val="single"/>
        </w:rPr>
      </w:pPr>
      <w:r w:rsidRPr="00CC3D8A">
        <w:rPr>
          <w:rFonts w:ascii="Arial" w:hAnsi="Arial" w:cs="Arial"/>
          <w:sz w:val="22"/>
          <w:szCs w:val="22"/>
        </w:rPr>
        <w:t xml:space="preserve">Infusion of funds is necessary to achieve the desired reduction in the distribution loss and if the desired funds could not be made available to the </w:t>
      </w:r>
      <w:r w:rsidRPr="00CC3D8A">
        <w:rPr>
          <w:rFonts w:ascii="Arial" w:hAnsi="Arial" w:cs="Arial"/>
          <w:sz w:val="22"/>
          <w:szCs w:val="22"/>
        </w:rPr>
        <w:lastRenderedPageBreak/>
        <w:t>Appellants for reasons beyond their control, the loss trajectory has to be reset keeping in view the ground realities.</w:t>
      </w:r>
    </w:p>
    <w:p w:rsidR="00246D4D" w:rsidRPr="00CC3D8A" w:rsidRDefault="00246D4D" w:rsidP="00B04A3F">
      <w:pPr>
        <w:pStyle w:val="Default"/>
        <w:numPr>
          <w:ilvl w:val="0"/>
          <w:numId w:val="20"/>
        </w:numPr>
        <w:spacing w:line="360" w:lineRule="auto"/>
        <w:jc w:val="both"/>
        <w:rPr>
          <w:rFonts w:ascii="Arial" w:hAnsi="Arial" w:cs="Arial"/>
          <w:i/>
          <w:iCs/>
          <w:sz w:val="22"/>
          <w:szCs w:val="22"/>
          <w:u w:val="single"/>
        </w:rPr>
      </w:pPr>
      <w:r w:rsidRPr="00CC3D8A">
        <w:rPr>
          <w:rFonts w:ascii="Arial" w:hAnsi="Arial" w:cs="Arial"/>
          <w:sz w:val="22"/>
          <w:szCs w:val="22"/>
        </w:rPr>
        <w:t>There is no justification for increase in distribution loss. We also reject the contention of the Appellants that loss levels have to be adjusted as per actuals. The actual loss levels clearly indicate a large quantum of commercial losses which are required to be curbed and the Appellants cannot wash their hands off completely stating administrative reasons.</w:t>
      </w:r>
    </w:p>
    <w:p w:rsidR="00246D4D" w:rsidRPr="00CC3D8A" w:rsidRDefault="00246D4D" w:rsidP="00B04A3F">
      <w:pPr>
        <w:pStyle w:val="Default"/>
        <w:numPr>
          <w:ilvl w:val="0"/>
          <w:numId w:val="20"/>
        </w:numPr>
        <w:spacing w:line="360" w:lineRule="auto"/>
        <w:jc w:val="both"/>
        <w:rPr>
          <w:rFonts w:ascii="Arial" w:hAnsi="Arial" w:cs="Arial"/>
          <w:i/>
          <w:iCs/>
          <w:sz w:val="22"/>
          <w:szCs w:val="22"/>
          <w:u w:val="single"/>
        </w:rPr>
      </w:pPr>
      <w:r w:rsidRPr="00CC3D8A">
        <w:rPr>
          <w:rFonts w:ascii="Arial" w:hAnsi="Arial" w:cs="Arial"/>
          <w:sz w:val="22"/>
          <w:szCs w:val="22"/>
        </w:rPr>
        <w:t>The loss level for 2006-07 and 2007-08 have to be reset by the State Commission as per the findings of this Tribunal in Appeal no. 77 of 2006 and batch and Appeal no. 52 of 2007 and batch. The loss levels earlier set for 2006-07 and 2007-08 from the base for the loss level trajectory for the period 2008-09 to 2012-13.</w:t>
      </w:r>
    </w:p>
    <w:p w:rsidR="00246D4D" w:rsidRPr="00CC3D8A" w:rsidRDefault="00246D4D" w:rsidP="00B04A3F">
      <w:pPr>
        <w:pStyle w:val="Default"/>
        <w:numPr>
          <w:ilvl w:val="0"/>
          <w:numId w:val="20"/>
        </w:numPr>
        <w:spacing w:line="360" w:lineRule="auto"/>
        <w:jc w:val="both"/>
        <w:rPr>
          <w:rFonts w:ascii="Arial" w:hAnsi="Arial" w:cs="Arial"/>
          <w:i/>
          <w:iCs/>
          <w:sz w:val="22"/>
          <w:szCs w:val="22"/>
          <w:u w:val="single"/>
        </w:rPr>
      </w:pPr>
      <w:r w:rsidRPr="00CC3D8A">
        <w:rPr>
          <w:rFonts w:ascii="Arial" w:hAnsi="Arial" w:cs="Arial"/>
          <w:sz w:val="22"/>
          <w:szCs w:val="22"/>
        </w:rPr>
        <w:t>If the loss levels for 2006-07 and 2007-08 have to be changed it will have an impact on the loss level trajectory for the period 2008-13. Accordingly, the loss levels for the FYs 2008-09 to 2012-13 have also to be reset keeping in view the revision in loss level trajectory for 2006-07 and 2007-08 and the ground realities that the required funds could not be made available.</w:t>
      </w:r>
    </w:p>
    <w:p w:rsidR="00246D4D" w:rsidRPr="00CC3D8A" w:rsidRDefault="00246D4D" w:rsidP="00B04A3F">
      <w:pPr>
        <w:pStyle w:val="Default"/>
        <w:numPr>
          <w:ilvl w:val="0"/>
          <w:numId w:val="20"/>
        </w:numPr>
        <w:spacing w:line="360" w:lineRule="auto"/>
        <w:jc w:val="both"/>
        <w:rPr>
          <w:rFonts w:ascii="Arial" w:hAnsi="Arial" w:cs="Arial"/>
          <w:sz w:val="22"/>
          <w:szCs w:val="22"/>
        </w:rPr>
      </w:pPr>
      <w:r w:rsidRPr="00CC3D8A">
        <w:rPr>
          <w:rFonts w:ascii="Arial" w:hAnsi="Arial" w:cs="Arial"/>
          <w:sz w:val="22"/>
          <w:szCs w:val="22"/>
        </w:rPr>
        <w:t>The loss level trajectory for the period from 2008-09 to 2012-13 should reduce gradually and in no case should increase. Accordingly, the State Commission shall reset the loss level trajectory and true up the accounts.</w:t>
      </w:r>
    </w:p>
    <w:p w:rsidR="00246D4D" w:rsidRPr="00CC3D8A" w:rsidRDefault="00246D4D" w:rsidP="00246D4D">
      <w:pPr>
        <w:pStyle w:val="Default"/>
        <w:spacing w:line="360" w:lineRule="auto"/>
        <w:ind w:left="360" w:firstLine="360"/>
        <w:jc w:val="both"/>
        <w:rPr>
          <w:rFonts w:ascii="Arial" w:hAnsi="Arial" w:cs="Arial"/>
          <w:b/>
          <w:bCs/>
          <w:iCs/>
          <w:sz w:val="22"/>
          <w:szCs w:val="22"/>
          <w:u w:val="single"/>
        </w:rPr>
      </w:pPr>
      <w:r w:rsidRPr="00CC3D8A">
        <w:rPr>
          <w:rFonts w:ascii="Arial" w:hAnsi="Arial" w:cs="Arial"/>
          <w:b/>
          <w:bCs/>
          <w:iCs/>
          <w:sz w:val="22"/>
          <w:szCs w:val="22"/>
          <w:u w:val="single"/>
        </w:rPr>
        <w:t>Notional Sales:</w:t>
      </w:r>
    </w:p>
    <w:p w:rsidR="00246D4D" w:rsidRPr="00CC3D8A" w:rsidRDefault="00246D4D" w:rsidP="00B04A3F">
      <w:pPr>
        <w:numPr>
          <w:ilvl w:val="0"/>
          <w:numId w:val="21"/>
        </w:numPr>
        <w:spacing w:after="200" w:line="360" w:lineRule="auto"/>
        <w:jc w:val="both"/>
        <w:rPr>
          <w:rFonts w:ascii="Arial" w:hAnsi="Arial" w:cs="Arial"/>
          <w:color w:val="000000"/>
          <w:sz w:val="22"/>
          <w:szCs w:val="22"/>
          <w:lang w:eastAsia="en-IN" w:bidi="or-IN"/>
        </w:rPr>
      </w:pPr>
      <w:r w:rsidRPr="00CC3D8A">
        <w:rPr>
          <w:rFonts w:ascii="Arial" w:hAnsi="Arial" w:cs="Arial"/>
          <w:color w:val="000000"/>
          <w:sz w:val="22"/>
          <w:szCs w:val="22"/>
          <w:lang w:eastAsia="en-IN" w:bidi="or-IN"/>
        </w:rPr>
        <w:t>The Issue is covered by the judgment of the Tribunal dated 4.12.2007 in Appeal no. 100 of 2007 in the matter of Karnataka Power Transmission Company Ltd. Vs. Karnataka State Electricity Regulatory Commission. The findings of the Tribunal in Karnataka Power case will squarely apply to these Appeals.</w:t>
      </w:r>
    </w:p>
    <w:p w:rsidR="00246D4D" w:rsidRPr="00CC3D8A" w:rsidRDefault="00246D4D" w:rsidP="00B04A3F">
      <w:pPr>
        <w:numPr>
          <w:ilvl w:val="0"/>
          <w:numId w:val="21"/>
        </w:numPr>
        <w:spacing w:after="200" w:line="360" w:lineRule="auto"/>
        <w:jc w:val="both"/>
        <w:rPr>
          <w:rFonts w:ascii="Arial" w:hAnsi="Arial" w:cs="Arial"/>
          <w:color w:val="000000"/>
          <w:sz w:val="22"/>
          <w:szCs w:val="22"/>
          <w:lang w:eastAsia="en-IN" w:bidi="or-IN"/>
        </w:rPr>
      </w:pPr>
      <w:r w:rsidRPr="00CC3D8A">
        <w:rPr>
          <w:rFonts w:ascii="Arial" w:hAnsi="Arial" w:cs="Arial"/>
          <w:color w:val="000000"/>
          <w:sz w:val="22"/>
          <w:szCs w:val="22"/>
          <w:lang w:eastAsia="en-IN" w:bidi="or-IN"/>
        </w:rPr>
        <w:t>The Power Purchase Cost admissible to the distribution licensee has to be determined on the basis of the estimated sales revenue and the targeted distribution loss. The Power Purchase Cost on account of non-achievement of distribution loss level at the average power purchase cost has to be borne by the distribution licensees and in this way the inefficiency of the distribution licensees is not passed on to the consumers. The method of notional sales as adopted by the State Commission is set aside.</w:t>
      </w:r>
    </w:p>
    <w:p w:rsidR="00246D4D" w:rsidRPr="00CC3D8A" w:rsidRDefault="00246D4D" w:rsidP="00246D4D">
      <w:pPr>
        <w:pStyle w:val="Default"/>
        <w:spacing w:line="360" w:lineRule="auto"/>
        <w:ind w:left="360" w:firstLine="360"/>
        <w:jc w:val="both"/>
        <w:rPr>
          <w:rFonts w:ascii="Arial" w:hAnsi="Arial" w:cs="Arial"/>
          <w:b/>
          <w:bCs/>
          <w:iCs/>
          <w:sz w:val="22"/>
          <w:szCs w:val="22"/>
          <w:u w:val="single"/>
        </w:rPr>
      </w:pPr>
      <w:r w:rsidRPr="00CC3D8A">
        <w:rPr>
          <w:rFonts w:ascii="Arial" w:hAnsi="Arial" w:cs="Arial"/>
          <w:b/>
          <w:bCs/>
          <w:iCs/>
          <w:sz w:val="22"/>
          <w:szCs w:val="22"/>
          <w:u w:val="single"/>
        </w:rPr>
        <w:t>Computation of Terminal Benefits:</w:t>
      </w:r>
    </w:p>
    <w:p w:rsidR="00246D4D" w:rsidRPr="00CC3D8A" w:rsidRDefault="00246D4D" w:rsidP="00B04A3F">
      <w:pPr>
        <w:numPr>
          <w:ilvl w:val="0"/>
          <w:numId w:val="22"/>
        </w:numPr>
        <w:spacing w:after="200" w:line="360" w:lineRule="auto"/>
        <w:jc w:val="both"/>
        <w:rPr>
          <w:rFonts w:ascii="Arial" w:hAnsi="Arial" w:cs="Arial"/>
          <w:sz w:val="22"/>
          <w:szCs w:val="22"/>
        </w:rPr>
      </w:pPr>
      <w:r w:rsidRPr="00CC3D8A">
        <w:rPr>
          <w:rFonts w:ascii="Arial" w:hAnsi="Arial" w:cs="Arial"/>
          <w:sz w:val="22"/>
          <w:szCs w:val="22"/>
        </w:rPr>
        <w:t>The State Commission should have taken into account the payouts from the fund to the employees as also the interest earned on the fund invested in securities and fixed deposits.</w:t>
      </w:r>
    </w:p>
    <w:p w:rsidR="00246D4D" w:rsidRPr="00CC3D8A" w:rsidRDefault="00246D4D" w:rsidP="00B04A3F">
      <w:pPr>
        <w:numPr>
          <w:ilvl w:val="0"/>
          <w:numId w:val="22"/>
        </w:numPr>
        <w:spacing w:after="200" w:line="360" w:lineRule="auto"/>
        <w:jc w:val="both"/>
        <w:rPr>
          <w:rFonts w:ascii="Arial" w:hAnsi="Arial" w:cs="Arial"/>
          <w:sz w:val="22"/>
          <w:szCs w:val="22"/>
        </w:rPr>
      </w:pPr>
      <w:r w:rsidRPr="00CC3D8A">
        <w:rPr>
          <w:rFonts w:ascii="Arial" w:hAnsi="Arial" w:cs="Arial"/>
          <w:sz w:val="22"/>
          <w:szCs w:val="22"/>
        </w:rPr>
        <w:lastRenderedPageBreak/>
        <w:t>The State Commission has since trued up the accounts till 2010-11 on the basis of audited accounts and therefore the issue does not survive. However, as a matter of principle, the accretion to the fund as also the payments from the fund has to be considered to arrive at actual availability of the fund in the ensuing year.</w:t>
      </w:r>
    </w:p>
    <w:p w:rsidR="00246D4D" w:rsidRPr="00CC3D8A" w:rsidRDefault="00246D4D" w:rsidP="00246D4D">
      <w:pPr>
        <w:pStyle w:val="Default"/>
        <w:spacing w:line="360" w:lineRule="auto"/>
        <w:ind w:left="360" w:firstLine="360"/>
        <w:jc w:val="both"/>
        <w:rPr>
          <w:rFonts w:ascii="Arial" w:hAnsi="Arial" w:cs="Arial"/>
          <w:b/>
          <w:bCs/>
          <w:iCs/>
          <w:sz w:val="22"/>
          <w:szCs w:val="22"/>
          <w:u w:val="single"/>
        </w:rPr>
      </w:pPr>
      <w:r w:rsidRPr="00CC3D8A">
        <w:rPr>
          <w:rFonts w:ascii="Arial" w:hAnsi="Arial" w:cs="Arial"/>
          <w:b/>
          <w:bCs/>
          <w:iCs/>
          <w:sz w:val="22"/>
          <w:szCs w:val="22"/>
          <w:u w:val="single"/>
        </w:rPr>
        <w:t>Employees Expenses:</w:t>
      </w:r>
    </w:p>
    <w:p w:rsidR="00246D4D" w:rsidRPr="00CC3D8A" w:rsidRDefault="00246D4D" w:rsidP="00B04A3F">
      <w:pPr>
        <w:pStyle w:val="Default"/>
        <w:numPr>
          <w:ilvl w:val="0"/>
          <w:numId w:val="23"/>
        </w:numPr>
        <w:spacing w:line="360" w:lineRule="auto"/>
        <w:jc w:val="both"/>
        <w:rPr>
          <w:rFonts w:ascii="Arial" w:hAnsi="Arial" w:cs="Arial"/>
          <w:sz w:val="22"/>
          <w:szCs w:val="22"/>
        </w:rPr>
      </w:pPr>
      <w:r w:rsidRPr="00CC3D8A">
        <w:rPr>
          <w:rFonts w:ascii="Arial" w:hAnsi="Arial" w:cs="Arial"/>
          <w:sz w:val="22"/>
          <w:szCs w:val="22"/>
        </w:rPr>
        <w:t xml:space="preserve">The arrears of 6th Pay Commission have to be allowed as in the truing up of the Accounts. </w:t>
      </w:r>
    </w:p>
    <w:p w:rsidR="00246D4D" w:rsidRPr="00CC3D8A" w:rsidRDefault="00246D4D" w:rsidP="00B04A3F">
      <w:pPr>
        <w:pStyle w:val="Default"/>
        <w:numPr>
          <w:ilvl w:val="0"/>
          <w:numId w:val="23"/>
        </w:numPr>
        <w:spacing w:line="360" w:lineRule="auto"/>
        <w:jc w:val="both"/>
        <w:rPr>
          <w:rFonts w:ascii="Arial" w:hAnsi="Arial" w:cs="Arial"/>
          <w:sz w:val="22"/>
          <w:szCs w:val="22"/>
        </w:rPr>
      </w:pPr>
      <w:r w:rsidRPr="00CC3D8A">
        <w:rPr>
          <w:rFonts w:ascii="Arial" w:hAnsi="Arial" w:cs="Arial"/>
          <w:sz w:val="22"/>
          <w:szCs w:val="22"/>
        </w:rPr>
        <w:t>The Appellants are directed to act on the directions given by the State Commission to improve the recovery of dues from the consumers and furnish the details sought by the State Commission.</w:t>
      </w:r>
    </w:p>
    <w:p w:rsidR="00246D4D" w:rsidRPr="00CC3D8A" w:rsidRDefault="00246D4D" w:rsidP="00B04A3F">
      <w:pPr>
        <w:pStyle w:val="Default"/>
        <w:numPr>
          <w:ilvl w:val="0"/>
          <w:numId w:val="23"/>
        </w:numPr>
        <w:spacing w:line="360" w:lineRule="auto"/>
        <w:jc w:val="both"/>
        <w:rPr>
          <w:rFonts w:ascii="Arial" w:hAnsi="Arial" w:cs="Arial"/>
          <w:sz w:val="22"/>
          <w:szCs w:val="22"/>
        </w:rPr>
      </w:pPr>
      <w:r w:rsidRPr="00CC3D8A">
        <w:rPr>
          <w:rFonts w:ascii="Arial" w:hAnsi="Arial" w:cs="Arial"/>
          <w:sz w:val="22"/>
          <w:szCs w:val="22"/>
        </w:rPr>
        <w:t xml:space="preserve"> The State Commission to expedite the report of the independent Actuary or else rely on the report of the Actuary appointed by the Appellants subject to prudence check and true up the terminal liabilities of the Appellants for the period 2010-11 to 2012-13 within 180 days of the date of this judgment. </w:t>
      </w:r>
    </w:p>
    <w:p w:rsidR="00246D4D" w:rsidRPr="00CC3D8A" w:rsidRDefault="00246D4D" w:rsidP="00B04A3F">
      <w:pPr>
        <w:pStyle w:val="Default"/>
        <w:numPr>
          <w:ilvl w:val="0"/>
          <w:numId w:val="23"/>
        </w:numPr>
        <w:spacing w:line="360" w:lineRule="auto"/>
        <w:rPr>
          <w:rFonts w:ascii="Arial" w:hAnsi="Arial" w:cs="Arial"/>
          <w:sz w:val="22"/>
          <w:szCs w:val="22"/>
        </w:rPr>
      </w:pPr>
      <w:r w:rsidRPr="00CC3D8A">
        <w:rPr>
          <w:rFonts w:ascii="Arial" w:hAnsi="Arial" w:cs="Arial"/>
          <w:sz w:val="22"/>
          <w:szCs w:val="22"/>
        </w:rPr>
        <w:t xml:space="preserve">Regarding House Rent Allowance, no infirmity in the order of the State Commission. </w:t>
      </w:r>
    </w:p>
    <w:p w:rsidR="00246D4D" w:rsidRPr="00CC3D8A" w:rsidRDefault="00246D4D" w:rsidP="00246D4D">
      <w:pPr>
        <w:pStyle w:val="Default"/>
        <w:spacing w:line="360" w:lineRule="auto"/>
        <w:ind w:left="1440"/>
        <w:rPr>
          <w:rFonts w:ascii="Arial" w:hAnsi="Arial" w:cs="Arial"/>
          <w:sz w:val="22"/>
          <w:szCs w:val="22"/>
        </w:rPr>
      </w:pPr>
    </w:p>
    <w:p w:rsidR="00246D4D" w:rsidRPr="00CC3D8A" w:rsidRDefault="00246D4D" w:rsidP="00246D4D">
      <w:pPr>
        <w:pStyle w:val="Default"/>
        <w:spacing w:line="360" w:lineRule="auto"/>
        <w:ind w:left="360" w:firstLine="360"/>
        <w:jc w:val="both"/>
        <w:rPr>
          <w:rFonts w:ascii="Arial" w:hAnsi="Arial" w:cs="Arial"/>
          <w:b/>
          <w:bCs/>
          <w:iCs/>
          <w:sz w:val="22"/>
          <w:szCs w:val="22"/>
          <w:u w:val="single"/>
        </w:rPr>
      </w:pPr>
      <w:r w:rsidRPr="00CC3D8A">
        <w:rPr>
          <w:rFonts w:ascii="Arial" w:hAnsi="Arial" w:cs="Arial"/>
          <w:b/>
          <w:bCs/>
          <w:iCs/>
          <w:sz w:val="22"/>
          <w:szCs w:val="22"/>
          <w:u w:val="single"/>
        </w:rPr>
        <w:t>Repair &amp; Maintenance Expenses:</w:t>
      </w:r>
    </w:p>
    <w:p w:rsidR="00246D4D" w:rsidRPr="00CC3D8A" w:rsidRDefault="00246D4D" w:rsidP="00B04A3F">
      <w:pPr>
        <w:numPr>
          <w:ilvl w:val="0"/>
          <w:numId w:val="24"/>
        </w:numPr>
        <w:spacing w:after="200" w:line="360" w:lineRule="auto"/>
        <w:jc w:val="both"/>
        <w:rPr>
          <w:rFonts w:ascii="Arial" w:hAnsi="Arial" w:cs="Arial"/>
          <w:sz w:val="22"/>
          <w:szCs w:val="22"/>
        </w:rPr>
      </w:pPr>
      <w:r w:rsidRPr="00CC3D8A">
        <w:rPr>
          <w:rFonts w:ascii="Arial" w:hAnsi="Arial" w:cs="Arial"/>
          <w:sz w:val="22"/>
          <w:szCs w:val="22"/>
        </w:rPr>
        <w:t>No infirmity in the Order of the Commission in not allowing the unutilized Repairs and Maintenance expenses for the previous years as claimed by the Appellants.</w:t>
      </w:r>
    </w:p>
    <w:p w:rsidR="00246D4D" w:rsidRPr="00CC3D8A" w:rsidRDefault="00246D4D" w:rsidP="00246D4D">
      <w:pPr>
        <w:pStyle w:val="Default"/>
        <w:spacing w:line="360" w:lineRule="auto"/>
        <w:ind w:left="360" w:firstLine="360"/>
        <w:jc w:val="both"/>
        <w:rPr>
          <w:rFonts w:ascii="Arial" w:hAnsi="Arial" w:cs="Arial"/>
          <w:b/>
          <w:bCs/>
          <w:iCs/>
          <w:sz w:val="22"/>
          <w:szCs w:val="22"/>
          <w:u w:val="single"/>
        </w:rPr>
      </w:pPr>
      <w:r w:rsidRPr="00CC3D8A">
        <w:rPr>
          <w:rFonts w:ascii="Arial" w:hAnsi="Arial" w:cs="Arial"/>
          <w:b/>
          <w:bCs/>
          <w:iCs/>
          <w:sz w:val="22"/>
          <w:szCs w:val="22"/>
          <w:u w:val="single"/>
        </w:rPr>
        <w:t>Administrative and General Expenses:</w:t>
      </w:r>
    </w:p>
    <w:p w:rsidR="00246D4D" w:rsidRPr="00CC3D8A" w:rsidRDefault="00246D4D" w:rsidP="00B04A3F">
      <w:pPr>
        <w:numPr>
          <w:ilvl w:val="0"/>
          <w:numId w:val="25"/>
        </w:numPr>
        <w:spacing w:after="200" w:line="360" w:lineRule="auto"/>
        <w:jc w:val="both"/>
        <w:rPr>
          <w:rFonts w:ascii="Arial" w:hAnsi="Arial" w:cs="Arial"/>
          <w:sz w:val="22"/>
          <w:szCs w:val="22"/>
        </w:rPr>
      </w:pPr>
      <w:r w:rsidRPr="00CC3D8A">
        <w:rPr>
          <w:rFonts w:ascii="Arial" w:hAnsi="Arial" w:cs="Arial"/>
          <w:sz w:val="22"/>
          <w:szCs w:val="22"/>
        </w:rPr>
        <w:t>The findings of the Tribunal in judgment dated 8.11.2010 in Appeal no. 52 of 2007 and batch will squarely apply to the present Appeals. The State Commission shall give effect to the findings of the Tribunal in these Appeals by allowing expenses incurred on account of spot billing and energy audit.</w:t>
      </w:r>
    </w:p>
    <w:p w:rsidR="00246D4D" w:rsidRPr="00CC3D8A" w:rsidRDefault="00246D4D" w:rsidP="00246D4D">
      <w:pPr>
        <w:pStyle w:val="Default"/>
        <w:spacing w:line="360" w:lineRule="auto"/>
        <w:ind w:left="360" w:firstLine="360"/>
        <w:jc w:val="both"/>
        <w:rPr>
          <w:rFonts w:ascii="Arial" w:hAnsi="Arial" w:cs="Arial"/>
          <w:b/>
          <w:bCs/>
          <w:iCs/>
          <w:sz w:val="22"/>
          <w:szCs w:val="22"/>
          <w:u w:val="single"/>
        </w:rPr>
      </w:pPr>
      <w:r w:rsidRPr="00CC3D8A">
        <w:rPr>
          <w:rFonts w:ascii="Arial" w:hAnsi="Arial" w:cs="Arial"/>
          <w:b/>
          <w:bCs/>
          <w:iCs/>
          <w:sz w:val="22"/>
          <w:szCs w:val="22"/>
          <w:u w:val="single"/>
        </w:rPr>
        <w:t>Truing Up:</w:t>
      </w:r>
    </w:p>
    <w:p w:rsidR="00246D4D" w:rsidRPr="00CC3D8A" w:rsidRDefault="00246D4D" w:rsidP="00B04A3F">
      <w:pPr>
        <w:numPr>
          <w:ilvl w:val="0"/>
          <w:numId w:val="26"/>
        </w:numPr>
        <w:spacing w:after="200" w:line="360" w:lineRule="auto"/>
        <w:jc w:val="both"/>
        <w:rPr>
          <w:rFonts w:ascii="Arial" w:hAnsi="Arial" w:cs="Arial"/>
          <w:sz w:val="22"/>
          <w:szCs w:val="22"/>
        </w:rPr>
      </w:pPr>
      <w:r w:rsidRPr="00CC3D8A">
        <w:rPr>
          <w:rFonts w:ascii="Arial" w:hAnsi="Arial" w:cs="Arial"/>
          <w:sz w:val="22"/>
          <w:szCs w:val="22"/>
        </w:rPr>
        <w:t>The State Commission shall true up the provision for bad and doubtful debts on the trued up figures of sales revenue.</w:t>
      </w:r>
    </w:p>
    <w:p w:rsidR="00246D4D" w:rsidRPr="00CC3D8A" w:rsidRDefault="00246D4D" w:rsidP="00B04A3F">
      <w:pPr>
        <w:numPr>
          <w:ilvl w:val="0"/>
          <w:numId w:val="26"/>
        </w:numPr>
        <w:spacing w:after="200" w:line="360" w:lineRule="auto"/>
        <w:jc w:val="both"/>
        <w:rPr>
          <w:rFonts w:ascii="Arial" w:hAnsi="Arial" w:cs="Arial"/>
          <w:sz w:val="22"/>
          <w:szCs w:val="22"/>
        </w:rPr>
      </w:pPr>
      <w:r w:rsidRPr="00CC3D8A">
        <w:rPr>
          <w:rFonts w:ascii="Arial" w:hAnsi="Arial" w:cs="Arial"/>
          <w:sz w:val="22"/>
          <w:szCs w:val="22"/>
        </w:rPr>
        <w:t xml:space="preserve">The issue of non-consideration of delayed payment surcharge can not be deliberated as the impugned order dated 19.3.2012 does not indicate the details of the power purchase cost which has been trued up. We, therefore, remand the matter to the State Commission with liberty to the Appellants to </w:t>
      </w:r>
      <w:r w:rsidRPr="00CC3D8A">
        <w:rPr>
          <w:rFonts w:ascii="Arial" w:hAnsi="Arial" w:cs="Arial"/>
          <w:sz w:val="22"/>
          <w:szCs w:val="22"/>
        </w:rPr>
        <w:lastRenderedPageBreak/>
        <w:t>furnish the details of their claim. The State Commission, therefore, shall decide the issue in accordance with law after considering the points raised by the Appellants.</w:t>
      </w:r>
    </w:p>
    <w:p w:rsidR="00246D4D" w:rsidRPr="00CC3D8A" w:rsidRDefault="00246D4D" w:rsidP="00246D4D">
      <w:pPr>
        <w:pStyle w:val="Default"/>
        <w:spacing w:line="360" w:lineRule="auto"/>
        <w:ind w:left="360" w:firstLine="360"/>
        <w:jc w:val="both"/>
        <w:rPr>
          <w:rFonts w:ascii="Arial" w:hAnsi="Arial" w:cs="Arial"/>
          <w:b/>
          <w:bCs/>
          <w:iCs/>
          <w:sz w:val="22"/>
          <w:szCs w:val="22"/>
          <w:u w:val="single"/>
        </w:rPr>
      </w:pPr>
      <w:r w:rsidRPr="00CC3D8A">
        <w:rPr>
          <w:rFonts w:ascii="Arial" w:hAnsi="Arial" w:cs="Arial"/>
          <w:b/>
          <w:bCs/>
          <w:iCs/>
          <w:sz w:val="22"/>
          <w:szCs w:val="22"/>
          <w:u w:val="single"/>
        </w:rPr>
        <w:t>Delayed Payment Surcharge:</w:t>
      </w:r>
    </w:p>
    <w:p w:rsidR="00246D4D" w:rsidRPr="00CC3D8A" w:rsidRDefault="00246D4D" w:rsidP="00B04A3F">
      <w:pPr>
        <w:numPr>
          <w:ilvl w:val="0"/>
          <w:numId w:val="27"/>
        </w:numPr>
        <w:spacing w:after="200" w:line="360" w:lineRule="auto"/>
        <w:jc w:val="both"/>
        <w:rPr>
          <w:rFonts w:ascii="Arial" w:hAnsi="Arial" w:cs="Arial"/>
          <w:sz w:val="22"/>
          <w:szCs w:val="22"/>
        </w:rPr>
      </w:pPr>
      <w:r w:rsidRPr="00CC3D8A">
        <w:rPr>
          <w:rFonts w:ascii="Arial" w:hAnsi="Arial" w:cs="Arial"/>
          <w:sz w:val="22"/>
          <w:szCs w:val="22"/>
        </w:rPr>
        <w:t>The issue of non-consideration of delayed payment surcharge cannot be deliberated as the impugned order dated 19.3.2012 does not indicate the details of the power purchase cost which has been trued up. We, therefore, remand the matter to the State Commission with liberty to the Appellants to furnish the details of their claim. The State Commission, therefore, shall decide the issue in accordance with law after considering the points raised by the Appellants.</w:t>
      </w:r>
    </w:p>
    <w:p w:rsidR="00246D4D" w:rsidRPr="00CC3D8A" w:rsidRDefault="00246D4D" w:rsidP="00246D4D">
      <w:pPr>
        <w:pStyle w:val="Default"/>
        <w:spacing w:line="360" w:lineRule="auto"/>
        <w:ind w:left="360" w:firstLine="360"/>
        <w:jc w:val="both"/>
        <w:rPr>
          <w:rFonts w:ascii="Arial" w:hAnsi="Arial" w:cs="Arial"/>
          <w:b/>
          <w:bCs/>
          <w:iCs/>
          <w:sz w:val="22"/>
          <w:szCs w:val="22"/>
          <w:u w:val="single"/>
        </w:rPr>
      </w:pPr>
      <w:r w:rsidRPr="00CC3D8A">
        <w:rPr>
          <w:rFonts w:ascii="Arial" w:hAnsi="Arial" w:cs="Arial"/>
          <w:b/>
          <w:bCs/>
          <w:iCs/>
          <w:sz w:val="22"/>
          <w:szCs w:val="22"/>
          <w:u w:val="single"/>
        </w:rPr>
        <w:t>Computation of Revenue For The FY.2012-14:</w:t>
      </w:r>
    </w:p>
    <w:p w:rsidR="00246D4D" w:rsidRPr="00CC3D8A" w:rsidRDefault="00246D4D" w:rsidP="00B04A3F">
      <w:pPr>
        <w:numPr>
          <w:ilvl w:val="0"/>
          <w:numId w:val="28"/>
        </w:numPr>
        <w:spacing w:after="200" w:line="360" w:lineRule="auto"/>
        <w:jc w:val="both"/>
        <w:rPr>
          <w:rFonts w:ascii="Arial" w:hAnsi="Arial" w:cs="Arial"/>
          <w:sz w:val="22"/>
          <w:szCs w:val="22"/>
        </w:rPr>
      </w:pPr>
      <w:r w:rsidRPr="00CC3D8A">
        <w:rPr>
          <w:rFonts w:ascii="Arial" w:hAnsi="Arial" w:cs="Arial"/>
          <w:sz w:val="22"/>
          <w:szCs w:val="22"/>
        </w:rPr>
        <w:t xml:space="preserve">That the State Commission has revisited the “Take or Pay” scheme and revised the same by its order dated 30.7.2012. The original scheme as approved in the impugned order dated 23.3.2012 in which concessions were given to some HT &amp; EHT consumers remained applicable during the period April-June 2012. Therefore, the revenue of the Appellants need to be trued up taking into account the impact of the scheme on the sales revenue of the Appellants during the period the scheme was in vogue. Accordingly, the State Commission shall true up the sales revenue of the Appellants. </w:t>
      </w:r>
    </w:p>
    <w:p w:rsidR="00246D4D" w:rsidRPr="00CC3D8A" w:rsidRDefault="00246D4D" w:rsidP="00246D4D">
      <w:pPr>
        <w:spacing w:line="360" w:lineRule="auto"/>
        <w:ind w:left="709"/>
        <w:jc w:val="both"/>
        <w:rPr>
          <w:rFonts w:ascii="Arial" w:hAnsi="Arial" w:cs="Arial"/>
          <w:b/>
          <w:bCs/>
          <w:sz w:val="22"/>
          <w:szCs w:val="22"/>
        </w:rPr>
      </w:pPr>
      <w:r w:rsidRPr="00CC3D8A">
        <w:rPr>
          <w:rFonts w:ascii="Arial" w:hAnsi="Arial" w:cs="Arial"/>
          <w:b/>
          <w:bCs/>
          <w:sz w:val="22"/>
          <w:szCs w:val="22"/>
        </w:rPr>
        <w:t xml:space="preserve">With the above findings the Hon’ble ATE partly allowed the Appeals as indicated above and the Hon’ble Commission was given 180 days to give effect to the findings of the Tribunal. </w:t>
      </w:r>
    </w:p>
    <w:p w:rsidR="00B674C1" w:rsidRPr="000C5C22" w:rsidRDefault="00B674C1" w:rsidP="00B674C1">
      <w:pPr>
        <w:rPr>
          <w:rFonts w:ascii="Cambria" w:hAnsi="Cambria" w:cs="Calibri"/>
        </w:rPr>
      </w:pPr>
      <w:bookmarkStart w:id="100" w:name="_Toc403668718"/>
    </w:p>
    <w:p w:rsidR="00B674C1" w:rsidRPr="00B674C1" w:rsidRDefault="00B674C1" w:rsidP="00B674C1">
      <w:pPr>
        <w:pStyle w:val="Heading1"/>
        <w:numPr>
          <w:ilvl w:val="1"/>
          <w:numId w:val="49"/>
        </w:numPr>
        <w:spacing w:line="360" w:lineRule="auto"/>
        <w:jc w:val="both"/>
        <w:rPr>
          <w:sz w:val="22"/>
          <w:szCs w:val="22"/>
        </w:rPr>
      </w:pPr>
      <w:bookmarkStart w:id="101" w:name="_Toc404940199"/>
      <w:r w:rsidRPr="00B674C1">
        <w:rPr>
          <w:sz w:val="22"/>
          <w:szCs w:val="22"/>
        </w:rPr>
        <w:t>Outstanding electricity from Govt Consumers as receivables of DISCOMs:</w:t>
      </w:r>
      <w:bookmarkEnd w:id="101"/>
    </w:p>
    <w:p w:rsidR="00B674C1" w:rsidRPr="00B674C1" w:rsidRDefault="00B674C1" w:rsidP="00B674C1">
      <w:pPr>
        <w:pStyle w:val="NormalWeb"/>
        <w:shd w:val="clear" w:color="auto" w:fill="FFFFFF"/>
        <w:spacing w:before="0" w:beforeAutospacing="0" w:after="0" w:afterAutospacing="0" w:line="401" w:lineRule="atLeast"/>
        <w:ind w:left="720"/>
        <w:jc w:val="both"/>
        <w:rPr>
          <w:rFonts w:ascii="Arial" w:hAnsi="Arial" w:cs="Arial"/>
          <w:sz w:val="22"/>
          <w:szCs w:val="22"/>
        </w:rPr>
      </w:pPr>
      <w:r w:rsidRPr="00B674C1">
        <w:rPr>
          <w:rFonts w:ascii="Arial" w:hAnsi="Arial" w:cs="Arial"/>
          <w:sz w:val="22"/>
          <w:szCs w:val="22"/>
        </w:rPr>
        <w:t xml:space="preserve">OERC in its RST Order for the FY 2014-2015, vide Para 271-273, directed the DISCOMs to install pre-paid energy meters in government establishments including public sector undertakings, autonomous bodies, urban local bodies, govt. societies by 31.03.2013 and barred Govt. Consumers to pay electricity dues accruing after this date and that the same shall not be treated as receivables for DISCOMs. In this context it is submitted that there were no technical specifications and precedence/ experience of prepaid meters to serve as guidelines and Discoms were expected to start from scratch. Despite of several impediments the DISCOMs have already started installing pre-paid meters in such consumers but it is quite difficult to cover all such consumers </w:t>
      </w:r>
      <w:r w:rsidRPr="00B674C1">
        <w:rPr>
          <w:rFonts w:ascii="Arial" w:hAnsi="Arial" w:cs="Arial"/>
          <w:sz w:val="22"/>
          <w:szCs w:val="22"/>
        </w:rPr>
        <w:lastRenderedPageBreak/>
        <w:t>in such a small duration, given the technical complexity of the scheme, the lack of precedence to rely and many factors beyond its control.</w:t>
      </w:r>
    </w:p>
    <w:p w:rsidR="00B674C1" w:rsidRPr="00B674C1" w:rsidRDefault="00B674C1" w:rsidP="00B674C1">
      <w:pPr>
        <w:pStyle w:val="NormalWeb"/>
        <w:shd w:val="clear" w:color="auto" w:fill="FFFFFF"/>
        <w:spacing w:before="0" w:beforeAutospacing="0" w:after="0" w:afterAutospacing="0" w:line="401" w:lineRule="atLeast"/>
        <w:ind w:left="360"/>
        <w:jc w:val="both"/>
        <w:rPr>
          <w:rFonts w:ascii="Arial" w:hAnsi="Arial" w:cs="Arial"/>
          <w:sz w:val="22"/>
          <w:szCs w:val="22"/>
        </w:rPr>
      </w:pPr>
    </w:p>
    <w:p w:rsidR="00B674C1" w:rsidRPr="00B674C1" w:rsidRDefault="00B674C1" w:rsidP="00B674C1">
      <w:pPr>
        <w:pStyle w:val="NormalWeb"/>
        <w:shd w:val="clear" w:color="auto" w:fill="FFFFFF"/>
        <w:spacing w:before="0" w:beforeAutospacing="0" w:after="0" w:afterAutospacing="0" w:line="401" w:lineRule="atLeast"/>
        <w:ind w:left="720"/>
        <w:jc w:val="both"/>
        <w:rPr>
          <w:rFonts w:ascii="Arial" w:hAnsi="Arial" w:cs="Arial"/>
          <w:sz w:val="22"/>
          <w:szCs w:val="22"/>
        </w:rPr>
      </w:pPr>
      <w:r w:rsidRPr="00B674C1">
        <w:rPr>
          <w:rFonts w:ascii="Arial" w:hAnsi="Arial" w:cs="Arial"/>
          <w:sz w:val="22"/>
          <w:szCs w:val="22"/>
        </w:rPr>
        <w:t>The licensee further submits that even the technical specifications of single phase prepaid meter were determined as recently as March 2014, the technical specifications for three phase prepaid meter is yet to be finalized. under such circumstances to insist upon the Discoms in complying with an unrealistic timeline and thereafter bar govt. consumers from paying their electricity dues and making it contingent upon installation of a prepaid meter by the Discoms is discriminatory and erroneous and is severely effecting the revenue stream of the DISCOMS which are already ailing under severe financial duress. It is therefore prayed that the energy dues of Govt. consumers be treated as receivables</w:t>
      </w:r>
    </w:p>
    <w:p w:rsidR="00246D4D" w:rsidRPr="005E3BDF" w:rsidRDefault="00246D4D" w:rsidP="00CF66A5">
      <w:pPr>
        <w:pStyle w:val="Heading1"/>
        <w:numPr>
          <w:ilvl w:val="1"/>
          <w:numId w:val="49"/>
        </w:numPr>
        <w:spacing w:line="360" w:lineRule="auto"/>
        <w:jc w:val="both"/>
        <w:rPr>
          <w:sz w:val="22"/>
          <w:szCs w:val="22"/>
        </w:rPr>
      </w:pPr>
      <w:bookmarkStart w:id="102" w:name="_Toc404940200"/>
      <w:r w:rsidRPr="005E3BDF">
        <w:rPr>
          <w:sz w:val="22"/>
          <w:szCs w:val="22"/>
        </w:rPr>
        <w:t>The Crisis situations due to non-implementation of Hon’ble ATE’s Orders:</w:t>
      </w:r>
      <w:bookmarkEnd w:id="100"/>
      <w:bookmarkEnd w:id="102"/>
    </w:p>
    <w:p w:rsidR="00246D4D" w:rsidRPr="005E3BDF" w:rsidRDefault="00246D4D" w:rsidP="00B04A3F">
      <w:pPr>
        <w:numPr>
          <w:ilvl w:val="0"/>
          <w:numId w:val="29"/>
        </w:numPr>
        <w:spacing w:after="200" w:line="360" w:lineRule="auto"/>
        <w:jc w:val="both"/>
        <w:rPr>
          <w:rFonts w:ascii="Arial" w:hAnsi="Arial" w:cs="Arial"/>
          <w:sz w:val="22"/>
          <w:szCs w:val="22"/>
        </w:rPr>
      </w:pPr>
      <w:r w:rsidRPr="005E3BDF">
        <w:rPr>
          <w:rFonts w:ascii="Arial" w:hAnsi="Arial" w:cs="Arial"/>
          <w:sz w:val="22"/>
          <w:szCs w:val="22"/>
        </w:rPr>
        <w:t>That, instead of non implementation of Orders of the Hon’ble ATE on fixation of distribution loss targets, Hon’ble OERC has been increasing the sales projection notionally by increasing the % of LT sales. The loss targets are far below the actual loss level.  This assumption of Notional Sales never materialized and financial deficit kept on accumulation every year. The revenue Gaps continue every year and have cascading impact on the finance and operations of the DISCOMs. Further, the entire revenue from sale of power is escrowed to GRIDCO and there are months, while the entire collections fall short to meet the power purchase (BST) bills in full as raised by GRIDCO, thus, DISCOMs are not left with no surplus for salary after payment of BST dues. Even for those months, DISCOMs pay the full BST Bill, GRIDCO is not allowing escrow relaxation inspite of several earlier Order of Hon’ble ATE and Hon’ble OERC. WESCO has availed Terms loans by pledging the security deposit of consumers to pay monthly salary. Consequently term Loan of Rs. 139.01 cr, Rs 117.96 Cr and Rs 15.00 Cr have already been availed by WESCO, NESCO and SOUTHCO from different FIs during FY 2013-14 towards salary expenses and further loans may not be sanctioned by the Banks, giving rise to an unpleasant situation, in non-payment of salaries which would result consequent industrial unrest and power disruption etc.</w:t>
      </w:r>
    </w:p>
    <w:p w:rsidR="00246D4D" w:rsidRPr="005E3BDF" w:rsidRDefault="00246D4D" w:rsidP="00B04A3F">
      <w:pPr>
        <w:numPr>
          <w:ilvl w:val="0"/>
          <w:numId w:val="29"/>
        </w:numPr>
        <w:spacing w:line="360" w:lineRule="auto"/>
        <w:jc w:val="both"/>
        <w:rPr>
          <w:rFonts w:ascii="Arial" w:hAnsi="Arial" w:cs="Arial"/>
          <w:sz w:val="22"/>
          <w:szCs w:val="22"/>
        </w:rPr>
      </w:pPr>
      <w:r w:rsidRPr="005E3BDF">
        <w:rPr>
          <w:rFonts w:ascii="Arial" w:hAnsi="Arial" w:cs="Arial"/>
          <w:sz w:val="22"/>
          <w:szCs w:val="22"/>
        </w:rPr>
        <w:t xml:space="preserve">While this situation persists, it is submitted that large scale Rural Electrifications has been undertaken under various Govt. Schemes viz RGGVY, BGJY, BSJY etc, coterminous to the slump in industrial consumption due to industrial </w:t>
      </w:r>
      <w:r w:rsidRPr="005E3BDF">
        <w:rPr>
          <w:rFonts w:ascii="Arial" w:hAnsi="Arial" w:cs="Arial"/>
          <w:sz w:val="22"/>
          <w:szCs w:val="22"/>
        </w:rPr>
        <w:lastRenderedPageBreak/>
        <w:t>recession. Again, the entire assets of DISCOMs stand hypothecated to GRIDCO and in spite of specific directions of Hon’ble OERC vide Judgment dated 29.03.2012 in case no 107 of 2011. GRIDCO is yet to release the assets, so that DISCOMs can raise the funds for undertaking loss reduction activities. It may be noted that, there exists an interrelationship between the loss reduction, ARR and the CAPEX Programme. The entire assets as well as revenue have been charged in favour of GRIDCO against BST (Power) bill dues of GRIDCO</w:t>
      </w:r>
    </w:p>
    <w:p w:rsidR="00246D4D" w:rsidRPr="005E3BDF" w:rsidRDefault="00246D4D" w:rsidP="00246D4D">
      <w:pPr>
        <w:spacing w:line="360" w:lineRule="auto"/>
        <w:jc w:val="both"/>
        <w:rPr>
          <w:rFonts w:ascii="Arial" w:hAnsi="Arial" w:cs="Arial"/>
          <w:sz w:val="22"/>
          <w:szCs w:val="22"/>
        </w:rPr>
      </w:pPr>
    </w:p>
    <w:p w:rsidR="00246D4D" w:rsidRPr="005E3BDF" w:rsidRDefault="00246D4D" w:rsidP="00246D4D">
      <w:pPr>
        <w:spacing w:line="360" w:lineRule="auto"/>
        <w:ind w:left="1440"/>
        <w:jc w:val="both"/>
        <w:rPr>
          <w:rFonts w:ascii="Arial" w:hAnsi="Arial" w:cs="Arial"/>
          <w:sz w:val="22"/>
          <w:szCs w:val="22"/>
        </w:rPr>
      </w:pPr>
      <w:r w:rsidRPr="005E3BDF">
        <w:rPr>
          <w:rFonts w:ascii="Arial" w:hAnsi="Arial" w:cs="Arial"/>
          <w:sz w:val="22"/>
          <w:szCs w:val="22"/>
        </w:rPr>
        <w:t>With the above adverse consumer mix coupled with Hon’ble Commission’s approach of notional sales, leaving no funds for adequate R &amp; M and loss reduction measures and negativ</w:t>
      </w:r>
      <w:r w:rsidR="004109A6">
        <w:rPr>
          <w:rFonts w:ascii="Arial" w:hAnsi="Arial" w:cs="Arial"/>
          <w:sz w:val="22"/>
          <w:szCs w:val="22"/>
        </w:rPr>
        <w:t>e net worth Balance  Sheet, non-</w:t>
      </w:r>
      <w:r w:rsidRPr="005E3BDF">
        <w:rPr>
          <w:rFonts w:ascii="Arial" w:hAnsi="Arial" w:cs="Arial"/>
          <w:sz w:val="22"/>
          <w:szCs w:val="22"/>
        </w:rPr>
        <w:t xml:space="preserve">availability of Escrow security with DISCOMs to raise loans etc. have made DISCOMs handicapped for improving the operational efficiencies. Moreover, in this situation to keep the distribution loss at the present level with adverse consumer mix is a mammoth task for DISCOMs. </w:t>
      </w:r>
    </w:p>
    <w:p w:rsidR="00246D4D" w:rsidRPr="005E3BDF" w:rsidRDefault="00246D4D" w:rsidP="00246D4D">
      <w:pPr>
        <w:spacing w:line="360" w:lineRule="auto"/>
        <w:ind w:left="1440"/>
        <w:jc w:val="both"/>
        <w:rPr>
          <w:rFonts w:ascii="Arial" w:hAnsi="Arial" w:cs="Arial"/>
          <w:sz w:val="22"/>
          <w:szCs w:val="22"/>
        </w:rPr>
      </w:pPr>
      <w:r w:rsidRPr="005E3BDF">
        <w:rPr>
          <w:rFonts w:ascii="Arial" w:hAnsi="Arial" w:cs="Arial"/>
          <w:sz w:val="22"/>
          <w:szCs w:val="22"/>
        </w:rPr>
        <w:t>A comparison of the approved and actual distribution loss over the two Control Periods is as below:</w:t>
      </w:r>
    </w:p>
    <w:p w:rsidR="00246D4D" w:rsidRPr="005E3BDF" w:rsidRDefault="00246D4D" w:rsidP="00246D4D">
      <w:pPr>
        <w:spacing w:line="360" w:lineRule="auto"/>
        <w:ind w:firstLine="432"/>
        <w:jc w:val="both"/>
        <w:rPr>
          <w:rFonts w:ascii="Arial" w:hAnsi="Arial" w:cs="Arial"/>
          <w:sz w:val="22"/>
          <w:szCs w:val="22"/>
        </w:rPr>
      </w:pPr>
    </w:p>
    <w:tbl>
      <w:tblPr>
        <w:tblW w:w="6220" w:type="dxa"/>
        <w:tblInd w:w="2168" w:type="dxa"/>
        <w:tblLayout w:type="fixed"/>
        <w:tblLook w:val="04A0"/>
      </w:tblPr>
      <w:tblGrid>
        <w:gridCol w:w="1350"/>
        <w:gridCol w:w="1630"/>
        <w:gridCol w:w="1620"/>
        <w:gridCol w:w="1620"/>
      </w:tblGrid>
      <w:tr w:rsidR="00246D4D" w:rsidRPr="005E3BDF" w:rsidTr="00246D4D">
        <w:trPr>
          <w:trHeight w:hRule="exact" w:val="397"/>
        </w:trPr>
        <w:tc>
          <w:tcPr>
            <w:tcW w:w="6220" w:type="dxa"/>
            <w:gridSpan w:val="4"/>
            <w:tcBorders>
              <w:top w:val="single" w:sz="4" w:space="0" w:color="auto"/>
              <w:left w:val="single" w:sz="4" w:space="0" w:color="auto"/>
              <w:bottom w:val="single" w:sz="4" w:space="0" w:color="auto"/>
              <w:right w:val="single" w:sz="8" w:space="0" w:color="000000"/>
            </w:tcBorders>
            <w:shd w:val="clear" w:color="auto" w:fill="auto"/>
            <w:vAlign w:val="center"/>
          </w:tcPr>
          <w:p w:rsidR="00246D4D" w:rsidRPr="005E3BDF" w:rsidRDefault="00244B60" w:rsidP="00246D4D">
            <w:pPr>
              <w:pStyle w:val="NoSpacing"/>
              <w:rPr>
                <w:rFonts w:ascii="Arial" w:hAnsi="Arial" w:cs="Arial"/>
              </w:rPr>
            </w:pPr>
            <w:r w:rsidRPr="005E3BDF">
              <w:rPr>
                <w:rFonts w:ascii="Arial" w:hAnsi="Arial" w:cs="Arial"/>
              </w:rPr>
              <w:t>N</w:t>
            </w:r>
            <w:r w:rsidR="00246D4D" w:rsidRPr="005E3BDF">
              <w:rPr>
                <w:rFonts w:ascii="Arial" w:hAnsi="Arial" w:cs="Arial"/>
              </w:rPr>
              <w:t>ESCO</w:t>
            </w:r>
          </w:p>
        </w:tc>
      </w:tr>
      <w:tr w:rsidR="00246D4D" w:rsidRPr="005E3BDF" w:rsidTr="00246D4D">
        <w:trPr>
          <w:trHeight w:hRule="exact" w:val="918"/>
        </w:trPr>
        <w:tc>
          <w:tcPr>
            <w:tcW w:w="1350" w:type="dxa"/>
            <w:tcBorders>
              <w:top w:val="nil"/>
              <w:left w:val="single" w:sz="4" w:space="0" w:color="auto"/>
              <w:bottom w:val="single" w:sz="4" w:space="0" w:color="auto"/>
              <w:right w:val="nil"/>
            </w:tcBorders>
            <w:shd w:val="clear" w:color="auto" w:fill="auto"/>
            <w:vAlign w:val="center"/>
            <w:hideMark/>
          </w:tcPr>
          <w:p w:rsidR="00246D4D" w:rsidRPr="005E3BDF" w:rsidRDefault="00246D4D" w:rsidP="00246D4D">
            <w:pPr>
              <w:pStyle w:val="NoSpacing"/>
              <w:jc w:val="center"/>
              <w:rPr>
                <w:rFonts w:ascii="Arial" w:hAnsi="Arial" w:cs="Arial"/>
              </w:rPr>
            </w:pPr>
            <w:r w:rsidRPr="005E3BDF">
              <w:rPr>
                <w:rFonts w:ascii="Arial" w:hAnsi="Arial" w:cs="Arial"/>
              </w:rPr>
              <w:t>Financial Year</w:t>
            </w:r>
          </w:p>
        </w:tc>
        <w:tc>
          <w:tcPr>
            <w:tcW w:w="1630" w:type="dxa"/>
            <w:tcBorders>
              <w:top w:val="nil"/>
              <w:left w:val="single" w:sz="4" w:space="0" w:color="auto"/>
              <w:bottom w:val="single" w:sz="4" w:space="0" w:color="auto"/>
              <w:right w:val="single" w:sz="4" w:space="0" w:color="auto"/>
            </w:tcBorders>
          </w:tcPr>
          <w:p w:rsidR="00246D4D" w:rsidRPr="005E3BDF" w:rsidRDefault="00246D4D" w:rsidP="00246D4D">
            <w:pPr>
              <w:pStyle w:val="NoSpacing"/>
              <w:jc w:val="center"/>
              <w:rPr>
                <w:rFonts w:ascii="Arial" w:hAnsi="Arial" w:cs="Arial"/>
              </w:rPr>
            </w:pPr>
            <w:r w:rsidRPr="005E3BDF">
              <w:rPr>
                <w:rFonts w:ascii="Arial" w:hAnsi="Arial" w:cs="Arial"/>
              </w:rPr>
              <w:t>Proposed Distribution Loss %</w:t>
            </w:r>
          </w:p>
        </w:tc>
        <w:tc>
          <w:tcPr>
            <w:tcW w:w="1620" w:type="dxa"/>
            <w:tcBorders>
              <w:top w:val="nil"/>
              <w:left w:val="single" w:sz="4" w:space="0" w:color="auto"/>
              <w:bottom w:val="single" w:sz="4" w:space="0" w:color="auto"/>
              <w:right w:val="single" w:sz="4" w:space="0" w:color="auto"/>
            </w:tcBorders>
            <w:shd w:val="clear" w:color="auto" w:fill="auto"/>
            <w:vAlign w:val="center"/>
            <w:hideMark/>
          </w:tcPr>
          <w:p w:rsidR="00246D4D" w:rsidRPr="005E3BDF" w:rsidRDefault="00246D4D" w:rsidP="00246D4D">
            <w:pPr>
              <w:pStyle w:val="NoSpacing"/>
              <w:jc w:val="center"/>
              <w:rPr>
                <w:rFonts w:ascii="Arial" w:hAnsi="Arial" w:cs="Arial"/>
              </w:rPr>
            </w:pPr>
            <w:r w:rsidRPr="005E3BDF">
              <w:rPr>
                <w:rFonts w:ascii="Arial" w:hAnsi="Arial" w:cs="Arial"/>
              </w:rPr>
              <w:t>Approved Distribution Loss %</w:t>
            </w:r>
          </w:p>
        </w:tc>
        <w:tc>
          <w:tcPr>
            <w:tcW w:w="1620" w:type="dxa"/>
            <w:tcBorders>
              <w:top w:val="nil"/>
              <w:left w:val="nil"/>
              <w:bottom w:val="single" w:sz="4" w:space="0" w:color="auto"/>
              <w:right w:val="single" w:sz="8" w:space="0" w:color="auto"/>
            </w:tcBorders>
            <w:shd w:val="clear" w:color="auto" w:fill="auto"/>
            <w:vAlign w:val="center"/>
            <w:hideMark/>
          </w:tcPr>
          <w:p w:rsidR="00246D4D" w:rsidRPr="005E3BDF" w:rsidRDefault="00246D4D" w:rsidP="00246D4D">
            <w:pPr>
              <w:pStyle w:val="NoSpacing"/>
              <w:jc w:val="center"/>
              <w:rPr>
                <w:rFonts w:ascii="Arial" w:hAnsi="Arial" w:cs="Arial"/>
              </w:rPr>
            </w:pPr>
            <w:r w:rsidRPr="005E3BDF">
              <w:rPr>
                <w:rFonts w:ascii="Arial" w:hAnsi="Arial" w:cs="Arial"/>
              </w:rPr>
              <w:t>Actual Distribution Loss %</w:t>
            </w:r>
          </w:p>
        </w:tc>
      </w:tr>
      <w:tr w:rsidR="00246D4D" w:rsidRPr="005E3BDF" w:rsidTr="00FB0680">
        <w:trPr>
          <w:trHeight w:hRule="exact" w:val="397"/>
        </w:trPr>
        <w:tc>
          <w:tcPr>
            <w:tcW w:w="1350" w:type="dxa"/>
            <w:tcBorders>
              <w:top w:val="nil"/>
              <w:left w:val="single" w:sz="4" w:space="0" w:color="auto"/>
              <w:bottom w:val="single" w:sz="4" w:space="0" w:color="auto"/>
              <w:right w:val="nil"/>
            </w:tcBorders>
            <w:shd w:val="clear" w:color="auto" w:fill="auto"/>
            <w:vAlign w:val="center"/>
            <w:hideMark/>
          </w:tcPr>
          <w:p w:rsidR="00246D4D" w:rsidRPr="005E3BDF" w:rsidRDefault="00246D4D" w:rsidP="00246D4D">
            <w:pPr>
              <w:pStyle w:val="NoSpacing"/>
              <w:rPr>
                <w:rFonts w:ascii="Arial" w:hAnsi="Arial" w:cs="Arial"/>
              </w:rPr>
            </w:pPr>
            <w:r w:rsidRPr="005E3BDF">
              <w:rPr>
                <w:rFonts w:ascii="Arial" w:hAnsi="Arial" w:cs="Arial"/>
              </w:rPr>
              <w:t>2008-09</w:t>
            </w:r>
          </w:p>
        </w:tc>
        <w:tc>
          <w:tcPr>
            <w:tcW w:w="1630" w:type="dxa"/>
            <w:tcBorders>
              <w:top w:val="nil"/>
              <w:left w:val="single" w:sz="4" w:space="0" w:color="auto"/>
              <w:bottom w:val="single" w:sz="4" w:space="0" w:color="auto"/>
              <w:right w:val="single" w:sz="4" w:space="0" w:color="auto"/>
            </w:tcBorders>
            <w:vAlign w:val="center"/>
          </w:tcPr>
          <w:p w:rsidR="00246D4D" w:rsidRPr="005E3BDF" w:rsidRDefault="00254B9C" w:rsidP="00246D4D">
            <w:pPr>
              <w:pStyle w:val="NoSpacing"/>
              <w:jc w:val="center"/>
              <w:rPr>
                <w:rFonts w:ascii="Arial" w:hAnsi="Arial" w:cs="Arial"/>
              </w:rPr>
            </w:pPr>
            <w:r w:rsidRPr="005E3BDF">
              <w:rPr>
                <w:rFonts w:ascii="Arial" w:hAnsi="Arial" w:cs="Arial"/>
              </w:rPr>
              <w:t>27.59%</w:t>
            </w:r>
          </w:p>
        </w:tc>
        <w:tc>
          <w:tcPr>
            <w:tcW w:w="1620" w:type="dxa"/>
            <w:tcBorders>
              <w:top w:val="nil"/>
              <w:left w:val="single" w:sz="4" w:space="0" w:color="auto"/>
              <w:bottom w:val="single" w:sz="4" w:space="0" w:color="auto"/>
              <w:right w:val="single" w:sz="4" w:space="0" w:color="auto"/>
            </w:tcBorders>
            <w:shd w:val="clear" w:color="auto" w:fill="auto"/>
            <w:vAlign w:val="center"/>
            <w:hideMark/>
          </w:tcPr>
          <w:p w:rsidR="00246D4D" w:rsidRPr="005E3BDF" w:rsidRDefault="000248D2" w:rsidP="000F3F43">
            <w:pPr>
              <w:pStyle w:val="NoSpacing"/>
              <w:jc w:val="center"/>
              <w:rPr>
                <w:rFonts w:ascii="Arial" w:hAnsi="Arial" w:cs="Arial"/>
              </w:rPr>
            </w:pPr>
            <w:r w:rsidRPr="005E3BDF">
              <w:rPr>
                <w:rFonts w:ascii="Arial" w:hAnsi="Arial" w:cs="Arial"/>
                <w:bCs/>
                <w:lang w:val="en-US"/>
              </w:rPr>
              <w:t>25.50%</w:t>
            </w:r>
          </w:p>
        </w:tc>
        <w:tc>
          <w:tcPr>
            <w:tcW w:w="1620" w:type="dxa"/>
            <w:tcBorders>
              <w:top w:val="nil"/>
              <w:left w:val="nil"/>
              <w:bottom w:val="single" w:sz="4" w:space="0" w:color="auto"/>
              <w:right w:val="single" w:sz="8" w:space="0" w:color="auto"/>
            </w:tcBorders>
            <w:shd w:val="clear" w:color="auto" w:fill="auto"/>
            <w:vAlign w:val="center"/>
            <w:hideMark/>
          </w:tcPr>
          <w:p w:rsidR="00246D4D" w:rsidRPr="005E3BDF" w:rsidRDefault="000248D2" w:rsidP="000F3F43">
            <w:pPr>
              <w:pStyle w:val="NoSpacing"/>
              <w:jc w:val="center"/>
              <w:rPr>
                <w:rFonts w:ascii="Arial" w:hAnsi="Arial" w:cs="Arial"/>
              </w:rPr>
            </w:pPr>
            <w:r w:rsidRPr="005E3BDF">
              <w:rPr>
                <w:rFonts w:ascii="Arial" w:hAnsi="Arial" w:cs="Arial"/>
                <w:bCs/>
                <w:lang w:val="en-US"/>
              </w:rPr>
              <w:t>34.57%</w:t>
            </w:r>
          </w:p>
        </w:tc>
      </w:tr>
      <w:tr w:rsidR="00246D4D" w:rsidRPr="005E3BDF" w:rsidTr="00FB0680">
        <w:trPr>
          <w:trHeight w:hRule="exact" w:val="397"/>
        </w:trPr>
        <w:tc>
          <w:tcPr>
            <w:tcW w:w="1350" w:type="dxa"/>
            <w:tcBorders>
              <w:top w:val="nil"/>
              <w:left w:val="single" w:sz="4" w:space="0" w:color="auto"/>
              <w:bottom w:val="single" w:sz="4" w:space="0" w:color="auto"/>
              <w:right w:val="nil"/>
            </w:tcBorders>
            <w:shd w:val="clear" w:color="auto" w:fill="auto"/>
            <w:vAlign w:val="center"/>
            <w:hideMark/>
          </w:tcPr>
          <w:p w:rsidR="00246D4D" w:rsidRPr="005E3BDF" w:rsidRDefault="00246D4D" w:rsidP="00246D4D">
            <w:pPr>
              <w:pStyle w:val="NoSpacing"/>
              <w:rPr>
                <w:rFonts w:ascii="Arial" w:hAnsi="Arial" w:cs="Arial"/>
              </w:rPr>
            </w:pPr>
            <w:r w:rsidRPr="005E3BDF">
              <w:rPr>
                <w:rFonts w:ascii="Arial" w:hAnsi="Arial" w:cs="Arial"/>
              </w:rPr>
              <w:t>2009-10</w:t>
            </w:r>
          </w:p>
        </w:tc>
        <w:tc>
          <w:tcPr>
            <w:tcW w:w="1630" w:type="dxa"/>
            <w:tcBorders>
              <w:top w:val="nil"/>
              <w:left w:val="single" w:sz="4" w:space="0" w:color="auto"/>
              <w:bottom w:val="single" w:sz="4" w:space="0" w:color="auto"/>
              <w:right w:val="single" w:sz="4" w:space="0" w:color="auto"/>
            </w:tcBorders>
            <w:vAlign w:val="center"/>
          </w:tcPr>
          <w:p w:rsidR="00246D4D" w:rsidRPr="005E3BDF" w:rsidRDefault="00254B9C" w:rsidP="00246D4D">
            <w:pPr>
              <w:pStyle w:val="NoSpacing"/>
              <w:jc w:val="center"/>
              <w:rPr>
                <w:rFonts w:ascii="Arial" w:hAnsi="Arial" w:cs="Arial"/>
              </w:rPr>
            </w:pPr>
            <w:r w:rsidRPr="005E3BDF">
              <w:rPr>
                <w:rFonts w:ascii="Arial" w:hAnsi="Arial" w:cs="Arial"/>
              </w:rPr>
              <w:t>29.26%</w:t>
            </w:r>
          </w:p>
        </w:tc>
        <w:tc>
          <w:tcPr>
            <w:tcW w:w="1620" w:type="dxa"/>
            <w:tcBorders>
              <w:top w:val="nil"/>
              <w:left w:val="single" w:sz="4" w:space="0" w:color="auto"/>
              <w:bottom w:val="single" w:sz="4" w:space="0" w:color="auto"/>
              <w:right w:val="single" w:sz="4" w:space="0" w:color="auto"/>
            </w:tcBorders>
            <w:shd w:val="clear" w:color="auto" w:fill="auto"/>
            <w:vAlign w:val="center"/>
            <w:hideMark/>
          </w:tcPr>
          <w:p w:rsidR="00246D4D" w:rsidRPr="005E3BDF" w:rsidRDefault="000248D2" w:rsidP="000F3F43">
            <w:pPr>
              <w:pStyle w:val="NoSpacing"/>
              <w:jc w:val="center"/>
              <w:rPr>
                <w:rFonts w:ascii="Arial" w:hAnsi="Arial" w:cs="Arial"/>
              </w:rPr>
            </w:pPr>
            <w:r w:rsidRPr="005E3BDF">
              <w:rPr>
                <w:rFonts w:ascii="Arial" w:hAnsi="Arial" w:cs="Arial"/>
                <w:bCs/>
                <w:lang w:val="en-US"/>
              </w:rPr>
              <w:t>23.00%</w:t>
            </w:r>
          </w:p>
        </w:tc>
        <w:tc>
          <w:tcPr>
            <w:tcW w:w="1620" w:type="dxa"/>
            <w:tcBorders>
              <w:top w:val="nil"/>
              <w:left w:val="nil"/>
              <w:bottom w:val="single" w:sz="4" w:space="0" w:color="auto"/>
              <w:right w:val="single" w:sz="8" w:space="0" w:color="auto"/>
            </w:tcBorders>
            <w:shd w:val="clear" w:color="auto" w:fill="auto"/>
            <w:vAlign w:val="center"/>
            <w:hideMark/>
          </w:tcPr>
          <w:p w:rsidR="00246D4D" w:rsidRPr="005E3BDF" w:rsidRDefault="000248D2" w:rsidP="000F3F43">
            <w:pPr>
              <w:pStyle w:val="NoSpacing"/>
              <w:jc w:val="center"/>
              <w:rPr>
                <w:rFonts w:ascii="Arial" w:hAnsi="Arial" w:cs="Arial"/>
              </w:rPr>
            </w:pPr>
            <w:r w:rsidRPr="005E3BDF">
              <w:rPr>
                <w:rFonts w:ascii="Arial" w:hAnsi="Arial" w:cs="Arial"/>
                <w:bCs/>
                <w:lang w:val="en-US"/>
              </w:rPr>
              <w:t>32.52%</w:t>
            </w:r>
          </w:p>
        </w:tc>
      </w:tr>
      <w:tr w:rsidR="00244B60" w:rsidRPr="005E3BDF" w:rsidTr="00FB0680">
        <w:trPr>
          <w:trHeight w:hRule="exact" w:val="397"/>
        </w:trPr>
        <w:tc>
          <w:tcPr>
            <w:tcW w:w="1350" w:type="dxa"/>
            <w:tcBorders>
              <w:top w:val="nil"/>
              <w:left w:val="single" w:sz="4" w:space="0" w:color="auto"/>
              <w:bottom w:val="single" w:sz="4" w:space="0" w:color="auto"/>
              <w:right w:val="nil"/>
            </w:tcBorders>
            <w:shd w:val="clear" w:color="auto" w:fill="auto"/>
            <w:vAlign w:val="center"/>
            <w:hideMark/>
          </w:tcPr>
          <w:p w:rsidR="00244B60" w:rsidRPr="005E3BDF" w:rsidRDefault="00244B60" w:rsidP="00246D4D">
            <w:pPr>
              <w:pStyle w:val="NoSpacing"/>
              <w:rPr>
                <w:rFonts w:ascii="Arial" w:hAnsi="Arial" w:cs="Arial"/>
              </w:rPr>
            </w:pPr>
            <w:r w:rsidRPr="005E3BDF">
              <w:rPr>
                <w:rFonts w:ascii="Arial" w:hAnsi="Arial" w:cs="Arial"/>
              </w:rPr>
              <w:t>2010-11</w:t>
            </w:r>
          </w:p>
        </w:tc>
        <w:tc>
          <w:tcPr>
            <w:tcW w:w="1630" w:type="dxa"/>
            <w:tcBorders>
              <w:top w:val="nil"/>
              <w:left w:val="single" w:sz="4" w:space="0" w:color="auto"/>
              <w:bottom w:val="single" w:sz="4" w:space="0" w:color="auto"/>
              <w:right w:val="single" w:sz="4" w:space="0" w:color="auto"/>
            </w:tcBorders>
            <w:vAlign w:val="center"/>
          </w:tcPr>
          <w:p w:rsidR="00244B60" w:rsidRPr="005E3BDF" w:rsidRDefault="00244B60" w:rsidP="00244B60">
            <w:pPr>
              <w:jc w:val="center"/>
              <w:rPr>
                <w:rFonts w:ascii="Arial" w:hAnsi="Arial" w:cs="Arial"/>
                <w:sz w:val="22"/>
                <w:szCs w:val="22"/>
              </w:rPr>
            </w:pPr>
            <w:r w:rsidRPr="005E3BDF">
              <w:rPr>
                <w:rFonts w:ascii="Arial" w:hAnsi="Arial" w:cs="Arial"/>
                <w:sz w:val="22"/>
                <w:szCs w:val="22"/>
              </w:rPr>
              <w:t>28.30%</w:t>
            </w:r>
          </w:p>
        </w:tc>
        <w:tc>
          <w:tcPr>
            <w:tcW w:w="1620" w:type="dxa"/>
            <w:tcBorders>
              <w:top w:val="nil"/>
              <w:left w:val="single" w:sz="4" w:space="0" w:color="auto"/>
              <w:bottom w:val="single" w:sz="4" w:space="0" w:color="auto"/>
              <w:right w:val="single" w:sz="4" w:space="0" w:color="auto"/>
            </w:tcBorders>
            <w:shd w:val="clear" w:color="auto" w:fill="auto"/>
            <w:vAlign w:val="center"/>
            <w:hideMark/>
          </w:tcPr>
          <w:p w:rsidR="00244B60" w:rsidRPr="005E3BDF" w:rsidRDefault="00244B60" w:rsidP="00FB0680">
            <w:pPr>
              <w:jc w:val="center"/>
              <w:rPr>
                <w:rFonts w:ascii="Arial" w:hAnsi="Arial" w:cs="Arial"/>
                <w:sz w:val="22"/>
                <w:szCs w:val="22"/>
              </w:rPr>
            </w:pPr>
            <w:r w:rsidRPr="005E3BDF">
              <w:rPr>
                <w:rFonts w:ascii="Arial" w:hAnsi="Arial" w:cs="Arial"/>
                <w:sz w:val="22"/>
                <w:szCs w:val="22"/>
              </w:rPr>
              <w:t>18.46%</w:t>
            </w:r>
          </w:p>
        </w:tc>
        <w:tc>
          <w:tcPr>
            <w:tcW w:w="1620" w:type="dxa"/>
            <w:tcBorders>
              <w:top w:val="nil"/>
              <w:left w:val="nil"/>
              <w:bottom w:val="single" w:sz="4" w:space="0" w:color="auto"/>
              <w:right w:val="single" w:sz="8" w:space="0" w:color="auto"/>
            </w:tcBorders>
            <w:shd w:val="clear" w:color="auto" w:fill="auto"/>
            <w:vAlign w:val="center"/>
            <w:hideMark/>
          </w:tcPr>
          <w:p w:rsidR="00244B60" w:rsidRPr="005E3BDF" w:rsidRDefault="00244B60" w:rsidP="00FB0680">
            <w:pPr>
              <w:jc w:val="center"/>
              <w:rPr>
                <w:rFonts w:ascii="Arial" w:hAnsi="Arial" w:cs="Arial"/>
                <w:sz w:val="22"/>
                <w:szCs w:val="22"/>
              </w:rPr>
            </w:pPr>
            <w:r w:rsidRPr="005E3BDF">
              <w:rPr>
                <w:rFonts w:ascii="Arial" w:hAnsi="Arial" w:cs="Arial"/>
                <w:sz w:val="22"/>
                <w:szCs w:val="22"/>
              </w:rPr>
              <w:t>32.20%</w:t>
            </w:r>
          </w:p>
        </w:tc>
      </w:tr>
      <w:tr w:rsidR="00244B60" w:rsidRPr="005E3BDF" w:rsidTr="00FB0680">
        <w:trPr>
          <w:trHeight w:hRule="exact" w:val="397"/>
        </w:trPr>
        <w:tc>
          <w:tcPr>
            <w:tcW w:w="1350" w:type="dxa"/>
            <w:tcBorders>
              <w:top w:val="nil"/>
              <w:left w:val="single" w:sz="4" w:space="0" w:color="auto"/>
              <w:bottom w:val="single" w:sz="4" w:space="0" w:color="auto"/>
              <w:right w:val="nil"/>
            </w:tcBorders>
            <w:shd w:val="clear" w:color="auto" w:fill="auto"/>
            <w:vAlign w:val="center"/>
            <w:hideMark/>
          </w:tcPr>
          <w:p w:rsidR="00244B60" w:rsidRPr="005E3BDF" w:rsidRDefault="00244B60" w:rsidP="00246D4D">
            <w:pPr>
              <w:pStyle w:val="NoSpacing"/>
              <w:rPr>
                <w:rFonts w:ascii="Arial" w:hAnsi="Arial" w:cs="Arial"/>
              </w:rPr>
            </w:pPr>
            <w:r w:rsidRPr="005E3BDF">
              <w:rPr>
                <w:rFonts w:ascii="Arial" w:hAnsi="Arial" w:cs="Arial"/>
              </w:rPr>
              <w:t>2011-12</w:t>
            </w:r>
          </w:p>
        </w:tc>
        <w:tc>
          <w:tcPr>
            <w:tcW w:w="1630" w:type="dxa"/>
            <w:tcBorders>
              <w:top w:val="nil"/>
              <w:left w:val="single" w:sz="4" w:space="0" w:color="auto"/>
              <w:bottom w:val="single" w:sz="4" w:space="0" w:color="auto"/>
              <w:right w:val="single" w:sz="4" w:space="0" w:color="auto"/>
            </w:tcBorders>
            <w:vAlign w:val="center"/>
          </w:tcPr>
          <w:p w:rsidR="00244B60" w:rsidRPr="005E3BDF" w:rsidRDefault="00244B60" w:rsidP="00244B60">
            <w:pPr>
              <w:jc w:val="center"/>
              <w:rPr>
                <w:rFonts w:ascii="Arial" w:hAnsi="Arial" w:cs="Arial"/>
                <w:sz w:val="22"/>
                <w:szCs w:val="22"/>
              </w:rPr>
            </w:pPr>
            <w:r w:rsidRPr="005E3BDF">
              <w:rPr>
                <w:rFonts w:ascii="Arial" w:hAnsi="Arial" w:cs="Arial"/>
                <w:sz w:val="22"/>
                <w:szCs w:val="22"/>
              </w:rPr>
              <w:t>27.66%</w:t>
            </w:r>
          </w:p>
        </w:tc>
        <w:tc>
          <w:tcPr>
            <w:tcW w:w="1620" w:type="dxa"/>
            <w:tcBorders>
              <w:top w:val="nil"/>
              <w:left w:val="single" w:sz="4" w:space="0" w:color="auto"/>
              <w:bottom w:val="single" w:sz="4" w:space="0" w:color="auto"/>
              <w:right w:val="single" w:sz="4" w:space="0" w:color="auto"/>
            </w:tcBorders>
            <w:shd w:val="clear" w:color="auto" w:fill="auto"/>
            <w:vAlign w:val="center"/>
            <w:hideMark/>
          </w:tcPr>
          <w:p w:rsidR="00244B60" w:rsidRPr="005E3BDF" w:rsidRDefault="00244B60" w:rsidP="00FB0680">
            <w:pPr>
              <w:jc w:val="center"/>
              <w:rPr>
                <w:rFonts w:ascii="Arial" w:hAnsi="Arial" w:cs="Arial"/>
                <w:sz w:val="22"/>
                <w:szCs w:val="22"/>
              </w:rPr>
            </w:pPr>
            <w:r w:rsidRPr="005E3BDF">
              <w:rPr>
                <w:rFonts w:ascii="Arial" w:hAnsi="Arial" w:cs="Arial"/>
                <w:sz w:val="22"/>
                <w:szCs w:val="22"/>
              </w:rPr>
              <w:t>18.40%</w:t>
            </w:r>
          </w:p>
        </w:tc>
        <w:tc>
          <w:tcPr>
            <w:tcW w:w="1620" w:type="dxa"/>
            <w:tcBorders>
              <w:top w:val="nil"/>
              <w:left w:val="nil"/>
              <w:bottom w:val="single" w:sz="4" w:space="0" w:color="auto"/>
              <w:right w:val="single" w:sz="8" w:space="0" w:color="auto"/>
            </w:tcBorders>
            <w:shd w:val="clear" w:color="auto" w:fill="auto"/>
            <w:vAlign w:val="center"/>
            <w:hideMark/>
          </w:tcPr>
          <w:p w:rsidR="00244B60" w:rsidRPr="005E3BDF" w:rsidRDefault="00244B60" w:rsidP="00FB0680">
            <w:pPr>
              <w:jc w:val="center"/>
              <w:rPr>
                <w:rFonts w:ascii="Arial" w:hAnsi="Arial" w:cs="Arial"/>
                <w:sz w:val="22"/>
                <w:szCs w:val="22"/>
              </w:rPr>
            </w:pPr>
            <w:r w:rsidRPr="005E3BDF">
              <w:rPr>
                <w:rFonts w:ascii="Arial" w:hAnsi="Arial" w:cs="Arial"/>
                <w:sz w:val="22"/>
                <w:szCs w:val="22"/>
              </w:rPr>
              <w:t>34.28%</w:t>
            </w:r>
          </w:p>
        </w:tc>
      </w:tr>
      <w:tr w:rsidR="00244B60" w:rsidRPr="005E3BDF" w:rsidTr="00FB0680">
        <w:trPr>
          <w:trHeight w:hRule="exact" w:val="397"/>
        </w:trPr>
        <w:tc>
          <w:tcPr>
            <w:tcW w:w="1350" w:type="dxa"/>
            <w:tcBorders>
              <w:top w:val="nil"/>
              <w:left w:val="single" w:sz="4" w:space="0" w:color="auto"/>
              <w:bottom w:val="single" w:sz="4" w:space="0" w:color="auto"/>
              <w:right w:val="nil"/>
            </w:tcBorders>
            <w:shd w:val="clear" w:color="auto" w:fill="auto"/>
            <w:vAlign w:val="center"/>
            <w:hideMark/>
          </w:tcPr>
          <w:p w:rsidR="00244B60" w:rsidRPr="005E3BDF" w:rsidRDefault="00244B60" w:rsidP="00246D4D">
            <w:pPr>
              <w:pStyle w:val="NoSpacing"/>
              <w:rPr>
                <w:rFonts w:ascii="Arial" w:hAnsi="Arial" w:cs="Arial"/>
              </w:rPr>
            </w:pPr>
            <w:r w:rsidRPr="005E3BDF">
              <w:rPr>
                <w:rFonts w:ascii="Arial" w:hAnsi="Arial" w:cs="Arial"/>
              </w:rPr>
              <w:t>2012-13</w:t>
            </w:r>
          </w:p>
        </w:tc>
        <w:tc>
          <w:tcPr>
            <w:tcW w:w="1630" w:type="dxa"/>
            <w:tcBorders>
              <w:top w:val="nil"/>
              <w:left w:val="single" w:sz="4" w:space="0" w:color="auto"/>
              <w:bottom w:val="single" w:sz="4" w:space="0" w:color="auto"/>
              <w:right w:val="single" w:sz="4" w:space="0" w:color="auto"/>
            </w:tcBorders>
            <w:vAlign w:val="center"/>
          </w:tcPr>
          <w:p w:rsidR="00244B60" w:rsidRPr="005E3BDF" w:rsidRDefault="00244B60" w:rsidP="00244B60">
            <w:pPr>
              <w:jc w:val="center"/>
              <w:rPr>
                <w:rFonts w:ascii="Arial" w:hAnsi="Arial" w:cs="Arial"/>
                <w:sz w:val="22"/>
                <w:szCs w:val="22"/>
              </w:rPr>
            </w:pPr>
            <w:r w:rsidRPr="005E3BDF">
              <w:rPr>
                <w:rFonts w:ascii="Arial" w:hAnsi="Arial" w:cs="Arial"/>
                <w:sz w:val="22"/>
                <w:szCs w:val="22"/>
              </w:rPr>
              <w:t>29.00%</w:t>
            </w:r>
          </w:p>
        </w:tc>
        <w:tc>
          <w:tcPr>
            <w:tcW w:w="1620" w:type="dxa"/>
            <w:tcBorders>
              <w:top w:val="nil"/>
              <w:left w:val="single" w:sz="4" w:space="0" w:color="auto"/>
              <w:bottom w:val="single" w:sz="4" w:space="0" w:color="auto"/>
              <w:right w:val="single" w:sz="4" w:space="0" w:color="auto"/>
            </w:tcBorders>
            <w:shd w:val="clear" w:color="auto" w:fill="auto"/>
            <w:vAlign w:val="center"/>
            <w:hideMark/>
          </w:tcPr>
          <w:p w:rsidR="00244B60" w:rsidRPr="005E3BDF" w:rsidRDefault="00244B60" w:rsidP="00FB0680">
            <w:pPr>
              <w:jc w:val="center"/>
              <w:rPr>
                <w:rFonts w:ascii="Arial" w:hAnsi="Arial" w:cs="Arial"/>
                <w:sz w:val="22"/>
                <w:szCs w:val="22"/>
              </w:rPr>
            </w:pPr>
            <w:r w:rsidRPr="005E3BDF">
              <w:rPr>
                <w:rFonts w:ascii="Arial" w:hAnsi="Arial" w:cs="Arial"/>
                <w:sz w:val="22"/>
                <w:szCs w:val="22"/>
              </w:rPr>
              <w:t>18.35%</w:t>
            </w:r>
          </w:p>
        </w:tc>
        <w:tc>
          <w:tcPr>
            <w:tcW w:w="1620" w:type="dxa"/>
            <w:tcBorders>
              <w:top w:val="nil"/>
              <w:left w:val="nil"/>
              <w:bottom w:val="single" w:sz="4" w:space="0" w:color="auto"/>
              <w:right w:val="single" w:sz="8" w:space="0" w:color="auto"/>
            </w:tcBorders>
            <w:shd w:val="clear" w:color="auto" w:fill="auto"/>
            <w:vAlign w:val="center"/>
            <w:hideMark/>
          </w:tcPr>
          <w:p w:rsidR="00244B60" w:rsidRPr="005E3BDF" w:rsidRDefault="00244B60" w:rsidP="00FB0680">
            <w:pPr>
              <w:jc w:val="center"/>
              <w:rPr>
                <w:rFonts w:ascii="Arial" w:hAnsi="Arial" w:cs="Arial"/>
                <w:sz w:val="22"/>
                <w:szCs w:val="22"/>
              </w:rPr>
            </w:pPr>
            <w:r w:rsidRPr="005E3BDF">
              <w:rPr>
                <w:rFonts w:ascii="Arial" w:hAnsi="Arial" w:cs="Arial"/>
                <w:sz w:val="22"/>
                <w:szCs w:val="22"/>
              </w:rPr>
              <w:t>34.93%</w:t>
            </w:r>
          </w:p>
        </w:tc>
      </w:tr>
      <w:tr w:rsidR="00244B60" w:rsidRPr="005E3BDF" w:rsidTr="00FB0680">
        <w:trPr>
          <w:trHeight w:hRule="exact" w:val="397"/>
        </w:trPr>
        <w:tc>
          <w:tcPr>
            <w:tcW w:w="1350" w:type="dxa"/>
            <w:tcBorders>
              <w:top w:val="nil"/>
              <w:left w:val="single" w:sz="4" w:space="0" w:color="auto"/>
              <w:bottom w:val="nil"/>
              <w:right w:val="nil"/>
            </w:tcBorders>
            <w:shd w:val="clear" w:color="auto" w:fill="auto"/>
            <w:vAlign w:val="center"/>
            <w:hideMark/>
          </w:tcPr>
          <w:p w:rsidR="00244B60" w:rsidRPr="005E3BDF" w:rsidRDefault="00244B60" w:rsidP="00246D4D">
            <w:pPr>
              <w:pStyle w:val="NoSpacing"/>
              <w:rPr>
                <w:rFonts w:ascii="Arial" w:hAnsi="Arial" w:cs="Arial"/>
              </w:rPr>
            </w:pPr>
            <w:r w:rsidRPr="005E3BDF">
              <w:rPr>
                <w:rFonts w:ascii="Arial" w:hAnsi="Arial" w:cs="Arial"/>
              </w:rPr>
              <w:t>2013-14</w:t>
            </w:r>
          </w:p>
        </w:tc>
        <w:tc>
          <w:tcPr>
            <w:tcW w:w="1630" w:type="dxa"/>
            <w:tcBorders>
              <w:top w:val="nil"/>
              <w:left w:val="single" w:sz="4" w:space="0" w:color="auto"/>
              <w:bottom w:val="nil"/>
              <w:right w:val="single" w:sz="4" w:space="0" w:color="auto"/>
            </w:tcBorders>
            <w:vAlign w:val="center"/>
          </w:tcPr>
          <w:p w:rsidR="00244B60" w:rsidRPr="005E3BDF" w:rsidRDefault="00244B60" w:rsidP="00244B60">
            <w:pPr>
              <w:jc w:val="center"/>
              <w:rPr>
                <w:rFonts w:ascii="Arial" w:hAnsi="Arial" w:cs="Arial"/>
                <w:sz w:val="22"/>
                <w:szCs w:val="22"/>
              </w:rPr>
            </w:pPr>
            <w:r w:rsidRPr="005E3BDF">
              <w:rPr>
                <w:rFonts w:ascii="Arial" w:hAnsi="Arial" w:cs="Arial"/>
                <w:sz w:val="22"/>
                <w:szCs w:val="22"/>
              </w:rPr>
              <w:t>32.53%</w:t>
            </w:r>
          </w:p>
        </w:tc>
        <w:tc>
          <w:tcPr>
            <w:tcW w:w="1620" w:type="dxa"/>
            <w:tcBorders>
              <w:top w:val="nil"/>
              <w:left w:val="single" w:sz="4" w:space="0" w:color="auto"/>
              <w:bottom w:val="nil"/>
              <w:right w:val="single" w:sz="4" w:space="0" w:color="auto"/>
            </w:tcBorders>
            <w:shd w:val="clear" w:color="auto" w:fill="auto"/>
            <w:vAlign w:val="center"/>
            <w:hideMark/>
          </w:tcPr>
          <w:p w:rsidR="00244B60" w:rsidRPr="005E3BDF" w:rsidRDefault="00244B60" w:rsidP="00FB0680">
            <w:pPr>
              <w:jc w:val="center"/>
              <w:rPr>
                <w:rFonts w:ascii="Arial" w:hAnsi="Arial" w:cs="Arial"/>
                <w:sz w:val="22"/>
                <w:szCs w:val="22"/>
              </w:rPr>
            </w:pPr>
            <w:r w:rsidRPr="005E3BDF">
              <w:rPr>
                <w:rFonts w:ascii="Arial" w:hAnsi="Arial" w:cs="Arial"/>
                <w:sz w:val="22"/>
                <w:szCs w:val="22"/>
              </w:rPr>
              <w:t>18.35%</w:t>
            </w:r>
          </w:p>
        </w:tc>
        <w:tc>
          <w:tcPr>
            <w:tcW w:w="1620" w:type="dxa"/>
            <w:tcBorders>
              <w:top w:val="nil"/>
              <w:left w:val="nil"/>
              <w:bottom w:val="nil"/>
              <w:right w:val="single" w:sz="8" w:space="0" w:color="auto"/>
            </w:tcBorders>
            <w:shd w:val="clear" w:color="auto" w:fill="auto"/>
            <w:vAlign w:val="center"/>
            <w:hideMark/>
          </w:tcPr>
          <w:p w:rsidR="00244B60" w:rsidRPr="005E3BDF" w:rsidRDefault="00244B60" w:rsidP="00FB0680">
            <w:pPr>
              <w:jc w:val="center"/>
              <w:rPr>
                <w:rFonts w:ascii="Arial" w:hAnsi="Arial" w:cs="Arial"/>
                <w:sz w:val="22"/>
                <w:szCs w:val="22"/>
              </w:rPr>
            </w:pPr>
            <w:r w:rsidRPr="005E3BDF">
              <w:rPr>
                <w:rFonts w:ascii="Arial" w:hAnsi="Arial" w:cs="Arial"/>
                <w:sz w:val="22"/>
                <w:szCs w:val="22"/>
              </w:rPr>
              <w:t>33.84%</w:t>
            </w:r>
          </w:p>
        </w:tc>
      </w:tr>
      <w:tr w:rsidR="00244B60" w:rsidRPr="005E3BDF" w:rsidTr="00FB0680">
        <w:trPr>
          <w:trHeight w:hRule="exact" w:val="397"/>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4B60" w:rsidRPr="005E3BDF" w:rsidRDefault="00244B60" w:rsidP="00246D4D">
            <w:pPr>
              <w:pStyle w:val="NoSpacing"/>
              <w:rPr>
                <w:rFonts w:ascii="Arial" w:hAnsi="Arial" w:cs="Arial"/>
              </w:rPr>
            </w:pPr>
            <w:r w:rsidRPr="005E3BDF">
              <w:rPr>
                <w:rFonts w:ascii="Arial" w:hAnsi="Arial" w:cs="Arial"/>
              </w:rPr>
              <w:t>2014-15</w:t>
            </w:r>
          </w:p>
        </w:tc>
        <w:tc>
          <w:tcPr>
            <w:tcW w:w="1630" w:type="dxa"/>
            <w:tcBorders>
              <w:top w:val="single" w:sz="4" w:space="0" w:color="auto"/>
              <w:left w:val="nil"/>
              <w:bottom w:val="single" w:sz="4" w:space="0" w:color="auto"/>
              <w:right w:val="single" w:sz="4" w:space="0" w:color="auto"/>
            </w:tcBorders>
            <w:vAlign w:val="center"/>
          </w:tcPr>
          <w:p w:rsidR="00244B60" w:rsidRPr="005E3BDF" w:rsidRDefault="00244B60" w:rsidP="00244B60">
            <w:pPr>
              <w:jc w:val="center"/>
              <w:rPr>
                <w:rFonts w:ascii="Arial" w:hAnsi="Arial" w:cs="Arial"/>
                <w:sz w:val="22"/>
                <w:szCs w:val="22"/>
              </w:rPr>
            </w:pPr>
            <w:r w:rsidRPr="005E3BDF">
              <w:rPr>
                <w:rFonts w:ascii="Arial" w:hAnsi="Arial" w:cs="Arial"/>
                <w:sz w:val="22"/>
                <w:szCs w:val="22"/>
              </w:rPr>
              <w:t>30.46%</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4B60" w:rsidRPr="005E3BDF" w:rsidRDefault="00244B60" w:rsidP="00FB0680">
            <w:pPr>
              <w:jc w:val="center"/>
              <w:rPr>
                <w:rFonts w:ascii="Arial" w:hAnsi="Arial" w:cs="Arial"/>
                <w:sz w:val="22"/>
                <w:szCs w:val="22"/>
              </w:rPr>
            </w:pPr>
            <w:r w:rsidRPr="005E3BDF">
              <w:rPr>
                <w:rFonts w:ascii="Arial" w:hAnsi="Arial" w:cs="Arial"/>
                <w:sz w:val="22"/>
                <w:szCs w:val="22"/>
              </w:rPr>
              <w:t>18.46%</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244B60" w:rsidRPr="005E3BDF" w:rsidRDefault="00244B60" w:rsidP="00FB0680">
            <w:pPr>
              <w:pStyle w:val="NoSpacing"/>
              <w:jc w:val="center"/>
              <w:rPr>
                <w:rFonts w:ascii="Arial" w:hAnsi="Arial" w:cs="Arial"/>
              </w:rPr>
            </w:pPr>
          </w:p>
        </w:tc>
      </w:tr>
    </w:tbl>
    <w:p w:rsidR="00246D4D" w:rsidRPr="005E3BDF" w:rsidRDefault="00246D4D" w:rsidP="00246D4D">
      <w:pPr>
        <w:spacing w:line="360" w:lineRule="auto"/>
        <w:ind w:left="792"/>
        <w:jc w:val="both"/>
        <w:rPr>
          <w:rFonts w:ascii="Arial" w:hAnsi="Arial" w:cs="Arial"/>
          <w:sz w:val="22"/>
          <w:szCs w:val="22"/>
        </w:rPr>
      </w:pPr>
    </w:p>
    <w:p w:rsidR="00246D4D" w:rsidRPr="005E3BDF" w:rsidRDefault="00246D4D" w:rsidP="00B04A3F">
      <w:pPr>
        <w:numPr>
          <w:ilvl w:val="0"/>
          <w:numId w:val="29"/>
        </w:numPr>
        <w:autoSpaceDE w:val="0"/>
        <w:autoSpaceDN w:val="0"/>
        <w:adjustRightInd w:val="0"/>
        <w:spacing w:line="360" w:lineRule="auto"/>
        <w:jc w:val="both"/>
        <w:rPr>
          <w:rFonts w:ascii="Arial" w:hAnsi="Arial" w:cs="Arial"/>
          <w:sz w:val="22"/>
          <w:szCs w:val="22"/>
        </w:rPr>
      </w:pPr>
      <w:r w:rsidRPr="005E3BDF">
        <w:rPr>
          <w:rFonts w:ascii="Arial" w:hAnsi="Arial" w:cs="Arial"/>
          <w:sz w:val="22"/>
          <w:szCs w:val="22"/>
        </w:rPr>
        <w:t xml:space="preserve">In the present arrangement, DISCOMs bereft of cash are finding it difficult to raise finances, as the financial institutions and banks are seeking the 1st charge on the revenue to the extent of monthly installment of their funding for CAPEX /System Improvement programme. In terms of priority of escrow relaxation, the lender comes 6th behind Annual license fees, current BST dues, Special R&amp;M for smart metering, general R&amp;M and employee expenses. In this condition, practically no financial institution is willing to sanction any loan. </w:t>
      </w:r>
    </w:p>
    <w:p w:rsidR="00246D4D" w:rsidRPr="005E3BDF" w:rsidRDefault="00246D4D" w:rsidP="00246D4D">
      <w:pPr>
        <w:spacing w:line="360" w:lineRule="auto"/>
        <w:ind w:left="432"/>
        <w:jc w:val="both"/>
        <w:rPr>
          <w:rFonts w:ascii="Arial" w:hAnsi="Arial" w:cs="Arial"/>
          <w:sz w:val="22"/>
          <w:szCs w:val="22"/>
        </w:rPr>
      </w:pPr>
    </w:p>
    <w:p w:rsidR="00246D4D" w:rsidRPr="005E3BDF" w:rsidRDefault="00246D4D" w:rsidP="005A5364">
      <w:pPr>
        <w:spacing w:line="360" w:lineRule="auto"/>
        <w:ind w:left="1440"/>
        <w:jc w:val="both"/>
        <w:rPr>
          <w:rFonts w:ascii="Arial" w:hAnsi="Arial" w:cs="Arial"/>
          <w:sz w:val="22"/>
          <w:szCs w:val="22"/>
        </w:rPr>
      </w:pPr>
      <w:r w:rsidRPr="005E3BDF">
        <w:rPr>
          <w:rFonts w:ascii="Arial" w:hAnsi="Arial" w:cs="Arial"/>
          <w:sz w:val="22"/>
          <w:szCs w:val="22"/>
        </w:rPr>
        <w:t>Hon’ble OERC vide Order dated 29.03.2012 &amp; 30.03.2012 directed GRIDCO to release DISCOM’s Assets by 31.05.2012, which is yet to be released. The relevant para of the Order of Hon’ble OERC dated 29.03.2012 is enumerated as under;</w:t>
      </w:r>
    </w:p>
    <w:p w:rsidR="00246D4D" w:rsidRPr="005E3BDF" w:rsidRDefault="00246D4D" w:rsidP="00246D4D">
      <w:pPr>
        <w:spacing w:line="360" w:lineRule="auto"/>
        <w:ind w:left="1440"/>
        <w:jc w:val="both"/>
        <w:rPr>
          <w:rFonts w:ascii="Arial" w:hAnsi="Arial" w:cs="Arial"/>
          <w:i/>
          <w:sz w:val="22"/>
          <w:szCs w:val="22"/>
        </w:rPr>
      </w:pPr>
      <w:r w:rsidRPr="005E3BDF">
        <w:rPr>
          <w:rFonts w:ascii="Arial" w:hAnsi="Arial" w:cs="Arial"/>
          <w:i/>
          <w:sz w:val="22"/>
          <w:szCs w:val="22"/>
        </w:rPr>
        <w:t>“Para 14(iv). Out of the assets hypothecated to GRIDCO on account of NTPC Bond. GRIDCO may retain hypothecated assets limiting to Rs. 250 crore and balance hypothecated assets may be released before 31.05.2012 in order to enable NESCO, WESCO &amp; SOUTHCO to approach the financial institutions for loan.”</w:t>
      </w:r>
    </w:p>
    <w:p w:rsidR="00246D4D" w:rsidRPr="005E3BDF" w:rsidRDefault="00246D4D" w:rsidP="00246D4D">
      <w:pPr>
        <w:spacing w:line="360" w:lineRule="auto"/>
        <w:ind w:left="1440"/>
        <w:jc w:val="both"/>
        <w:rPr>
          <w:rFonts w:ascii="Arial" w:hAnsi="Arial" w:cs="Arial"/>
          <w:sz w:val="22"/>
          <w:szCs w:val="22"/>
        </w:rPr>
      </w:pPr>
      <w:r w:rsidRPr="005E3BDF">
        <w:rPr>
          <w:rFonts w:ascii="Arial" w:hAnsi="Arial" w:cs="Arial"/>
          <w:sz w:val="22"/>
          <w:szCs w:val="22"/>
        </w:rPr>
        <w:t>The GoO notification dated 8</w:t>
      </w:r>
      <w:r w:rsidRPr="005E3BDF">
        <w:rPr>
          <w:rFonts w:ascii="Arial" w:hAnsi="Arial" w:cs="Arial"/>
          <w:sz w:val="22"/>
          <w:szCs w:val="22"/>
          <w:vertAlign w:val="superscript"/>
        </w:rPr>
        <w:t>th</w:t>
      </w:r>
      <w:r w:rsidRPr="005E3BDF">
        <w:rPr>
          <w:rFonts w:ascii="Arial" w:hAnsi="Arial" w:cs="Arial"/>
          <w:sz w:val="22"/>
          <w:szCs w:val="22"/>
        </w:rPr>
        <w:t xml:space="preserve"> August’2013 issued on CAPEX Programme stipulate DISCOMs, namely, WESCO, NESCO &amp; SOUTHCO to arrange counterpart loan of Rs. 50.84 Crore for requirement of FY 2013-14 out of total counterpart requirement of Rs. 732 crore. Accordingly, DISCOMs after several round of discussions and deliberations, REC has issued the In-principle Sanction of counterpart loan of Rs. 732 crore and issued detailed sanction of Rs. 50.84 crore (WESCO Rs. 16.25 cr, NESCO Rs. 17.50 cr &amp; SOUTHCO Rs. 17.09 cr) for the requirement of FY 2013-14 vide REC detail sanction letter no. 688,689 &amp; 670 dated 31.03.2014. In the detail sanction letter, REC ha stipulated the following Security condition in addition to Escrow arrangement;</w:t>
      </w:r>
    </w:p>
    <w:p w:rsidR="00246D4D" w:rsidRPr="005E3BDF" w:rsidRDefault="00246D4D" w:rsidP="00246D4D">
      <w:pPr>
        <w:shd w:val="clear" w:color="auto" w:fill="FFFFFF"/>
        <w:spacing w:line="360" w:lineRule="auto"/>
        <w:ind w:left="1440"/>
        <w:jc w:val="both"/>
        <w:rPr>
          <w:rFonts w:ascii="Arial" w:hAnsi="Arial" w:cs="Arial"/>
          <w:sz w:val="22"/>
          <w:szCs w:val="22"/>
        </w:rPr>
      </w:pPr>
      <w:r w:rsidRPr="005E3BDF">
        <w:rPr>
          <w:rFonts w:ascii="Arial" w:hAnsi="Arial" w:cs="Arial"/>
          <w:b/>
          <w:bCs/>
          <w:color w:val="222222"/>
          <w:sz w:val="22"/>
          <w:szCs w:val="22"/>
          <w:u w:val="single"/>
        </w:rPr>
        <w:t>“Security:</w:t>
      </w:r>
      <w:r w:rsidRPr="005E3BDF">
        <w:rPr>
          <w:rStyle w:val="apple-converted-space"/>
          <w:rFonts w:ascii="Arial" w:hAnsi="Arial" w:cs="Arial"/>
          <w:bCs/>
          <w:color w:val="222222"/>
          <w:sz w:val="22"/>
          <w:szCs w:val="22"/>
        </w:rPr>
        <w:t> </w:t>
      </w:r>
      <w:r w:rsidRPr="005E3BDF">
        <w:rPr>
          <w:rFonts w:ascii="Arial" w:hAnsi="Arial" w:cs="Arial"/>
          <w:color w:val="222222"/>
          <w:sz w:val="22"/>
          <w:szCs w:val="22"/>
        </w:rPr>
        <w:t xml:space="preserve">Hypothecation of 100% future Assets created out of the project cost and hypothecation of 100% identified assets i.e. to the extent of project cost (200% security).” </w:t>
      </w:r>
    </w:p>
    <w:p w:rsidR="00246D4D" w:rsidRPr="005E3BDF" w:rsidRDefault="00246D4D" w:rsidP="00246D4D">
      <w:pPr>
        <w:pStyle w:val="NoSpacing"/>
        <w:rPr>
          <w:rFonts w:ascii="Arial" w:hAnsi="Arial" w:cs="Arial"/>
        </w:rPr>
      </w:pPr>
    </w:p>
    <w:p w:rsidR="00246D4D" w:rsidRPr="005E3BDF" w:rsidRDefault="00246D4D" w:rsidP="00B04A3F">
      <w:pPr>
        <w:numPr>
          <w:ilvl w:val="0"/>
          <w:numId w:val="29"/>
        </w:numPr>
        <w:autoSpaceDE w:val="0"/>
        <w:autoSpaceDN w:val="0"/>
        <w:adjustRightInd w:val="0"/>
        <w:spacing w:after="200" w:line="360" w:lineRule="auto"/>
        <w:jc w:val="both"/>
        <w:rPr>
          <w:rFonts w:ascii="Arial" w:hAnsi="Arial" w:cs="Arial"/>
          <w:sz w:val="22"/>
          <w:szCs w:val="22"/>
        </w:rPr>
      </w:pPr>
      <w:r w:rsidRPr="005E3BDF">
        <w:rPr>
          <w:rFonts w:ascii="Arial" w:hAnsi="Arial" w:cs="Arial"/>
          <w:b/>
          <w:i/>
          <w:sz w:val="22"/>
          <w:szCs w:val="22"/>
        </w:rPr>
        <w:t>Stringent Escrow Mechanism:</w:t>
      </w:r>
      <w:r w:rsidRPr="005E3BDF">
        <w:rPr>
          <w:rFonts w:ascii="Arial" w:hAnsi="Arial" w:cs="Arial"/>
          <w:sz w:val="22"/>
          <w:szCs w:val="22"/>
        </w:rPr>
        <w:t xml:space="preserve"> It is to submit that, DISCOMs have been prevented from availing escrow relaxation since February 2013, towards salary expenses which leads labour unrest. GRIDCO has allowed Escrow towards Salary and Repair &amp; Maintenance only for the month of October’2013 as a special case on account of cyclone “ PHAILIN” and Employees cost for the month of Nov.’13 to SOUTHCO. After that, there is no relaxation of escrow towards R &amp; M and Salary for 10 months of the current year (upto February’14). It is submitted that payout of R&amp;M and Salary, DISCOMs are resorting to take Short Term Loans which is otherwise also compounding additional financial burden on the DISCOMs. The consequential de-motivation further hampers performance which will affect timely payment of BST Bills as well.</w:t>
      </w:r>
    </w:p>
    <w:p w:rsidR="00246D4D" w:rsidRPr="005E3BDF" w:rsidRDefault="00246D4D" w:rsidP="00B04A3F">
      <w:pPr>
        <w:numPr>
          <w:ilvl w:val="0"/>
          <w:numId w:val="29"/>
        </w:numPr>
        <w:autoSpaceDE w:val="0"/>
        <w:autoSpaceDN w:val="0"/>
        <w:adjustRightInd w:val="0"/>
        <w:spacing w:after="200" w:line="360" w:lineRule="auto"/>
        <w:jc w:val="both"/>
        <w:rPr>
          <w:rFonts w:ascii="Arial" w:hAnsi="Arial" w:cs="Arial"/>
          <w:sz w:val="22"/>
          <w:szCs w:val="22"/>
        </w:rPr>
      </w:pPr>
      <w:r w:rsidRPr="005E3BDF">
        <w:rPr>
          <w:rFonts w:ascii="Arial" w:hAnsi="Arial" w:cs="Arial"/>
          <w:b/>
          <w:i/>
          <w:sz w:val="22"/>
          <w:szCs w:val="22"/>
        </w:rPr>
        <w:lastRenderedPageBreak/>
        <w:t>Terminal Benefits:</w:t>
      </w:r>
      <w:r w:rsidRPr="005E3BDF">
        <w:rPr>
          <w:rFonts w:ascii="Arial" w:hAnsi="Arial" w:cs="Arial"/>
          <w:sz w:val="22"/>
          <w:szCs w:val="22"/>
        </w:rPr>
        <w:t xml:space="preserve"> It is humbly submitted that, Hon’ble ATE in their Judgment has already recognized the huge requirement of funding to meet the future liability towards employee terminal liability.</w:t>
      </w:r>
    </w:p>
    <w:p w:rsidR="00246D4D" w:rsidRPr="005E3BDF" w:rsidRDefault="00246D4D" w:rsidP="00246D4D">
      <w:pPr>
        <w:autoSpaceDE w:val="0"/>
        <w:autoSpaceDN w:val="0"/>
        <w:adjustRightInd w:val="0"/>
        <w:spacing w:line="360" w:lineRule="auto"/>
        <w:ind w:left="792" w:firstLine="648"/>
        <w:jc w:val="both"/>
        <w:rPr>
          <w:rFonts w:ascii="Arial" w:hAnsi="Arial" w:cs="Arial"/>
          <w:sz w:val="22"/>
          <w:szCs w:val="22"/>
        </w:rPr>
      </w:pPr>
      <w:r w:rsidRPr="005E3BDF">
        <w:rPr>
          <w:rFonts w:ascii="Arial" w:hAnsi="Arial" w:cs="Arial"/>
          <w:sz w:val="22"/>
          <w:szCs w:val="22"/>
        </w:rPr>
        <w:t>Hon’ble ATE Order dated 3</w:t>
      </w:r>
      <w:r w:rsidRPr="005E3BDF">
        <w:rPr>
          <w:rFonts w:ascii="Arial" w:hAnsi="Arial" w:cs="Arial"/>
          <w:sz w:val="22"/>
          <w:szCs w:val="22"/>
          <w:vertAlign w:val="superscript"/>
        </w:rPr>
        <w:t>rd</w:t>
      </w:r>
      <w:r w:rsidRPr="005E3BDF">
        <w:rPr>
          <w:rFonts w:ascii="Arial" w:hAnsi="Arial" w:cs="Arial"/>
          <w:sz w:val="22"/>
          <w:szCs w:val="22"/>
        </w:rPr>
        <w:t xml:space="preserve"> July 2013:</w:t>
      </w:r>
    </w:p>
    <w:p w:rsidR="00246D4D" w:rsidRPr="005E3BDF" w:rsidRDefault="00246D4D" w:rsidP="00246D4D">
      <w:pPr>
        <w:autoSpaceDE w:val="0"/>
        <w:autoSpaceDN w:val="0"/>
        <w:adjustRightInd w:val="0"/>
        <w:spacing w:line="360" w:lineRule="auto"/>
        <w:ind w:left="1440"/>
        <w:jc w:val="both"/>
        <w:rPr>
          <w:rFonts w:ascii="Arial" w:hAnsi="Arial" w:cs="Arial"/>
          <w:i/>
          <w:sz w:val="22"/>
          <w:szCs w:val="22"/>
        </w:rPr>
      </w:pPr>
      <w:r w:rsidRPr="005E3BDF">
        <w:rPr>
          <w:rFonts w:ascii="Arial" w:hAnsi="Arial" w:cs="Arial"/>
          <w:i/>
          <w:sz w:val="22"/>
          <w:szCs w:val="22"/>
        </w:rPr>
        <w:t>“31. iv) In computing the terminal benefits of the employees, the State Commission should have taken into account the payouts from the fund to the employees as also the interest earned on the fund invested in securities and fixed deposits. The State Commission has since trued up the accounts till 2010-11 on the basis of audited accounts and therefore the issue does not survive. However, as a matter of principle, the accretion to the fund as also the payments from the fund has to be considered to arrive at actual availability of the fund in the ensuing year.”</w:t>
      </w:r>
    </w:p>
    <w:p w:rsidR="00246D4D" w:rsidRPr="005E3BDF" w:rsidRDefault="00246D4D" w:rsidP="00246D4D">
      <w:pPr>
        <w:autoSpaceDE w:val="0"/>
        <w:autoSpaceDN w:val="0"/>
        <w:adjustRightInd w:val="0"/>
        <w:spacing w:line="360" w:lineRule="auto"/>
        <w:ind w:left="792" w:firstLine="648"/>
        <w:jc w:val="both"/>
        <w:rPr>
          <w:rFonts w:ascii="Arial" w:hAnsi="Arial" w:cs="Arial"/>
          <w:sz w:val="22"/>
          <w:szCs w:val="22"/>
        </w:rPr>
      </w:pPr>
      <w:r w:rsidRPr="005E3BDF">
        <w:rPr>
          <w:rFonts w:ascii="Arial" w:hAnsi="Arial" w:cs="Arial"/>
          <w:sz w:val="22"/>
          <w:szCs w:val="22"/>
        </w:rPr>
        <w:t>Hon’ble ATE Order dated 11</w:t>
      </w:r>
      <w:r w:rsidRPr="005E3BDF">
        <w:rPr>
          <w:rFonts w:ascii="Arial" w:hAnsi="Arial" w:cs="Arial"/>
          <w:sz w:val="22"/>
          <w:szCs w:val="22"/>
          <w:vertAlign w:val="superscript"/>
        </w:rPr>
        <w:t>th</w:t>
      </w:r>
      <w:r w:rsidRPr="005E3BDF">
        <w:rPr>
          <w:rFonts w:ascii="Arial" w:hAnsi="Arial" w:cs="Arial"/>
          <w:sz w:val="22"/>
          <w:szCs w:val="22"/>
        </w:rPr>
        <w:t xml:space="preserve"> February 2014:</w:t>
      </w:r>
    </w:p>
    <w:p w:rsidR="00246D4D" w:rsidRPr="005E3BDF" w:rsidRDefault="00246D4D" w:rsidP="00246D4D">
      <w:pPr>
        <w:autoSpaceDE w:val="0"/>
        <w:autoSpaceDN w:val="0"/>
        <w:adjustRightInd w:val="0"/>
        <w:spacing w:line="360" w:lineRule="auto"/>
        <w:ind w:left="1440"/>
        <w:jc w:val="both"/>
        <w:rPr>
          <w:rFonts w:ascii="Arial" w:hAnsi="Arial" w:cs="Arial"/>
          <w:i/>
          <w:sz w:val="22"/>
          <w:szCs w:val="22"/>
        </w:rPr>
      </w:pPr>
      <w:r w:rsidRPr="005E3BDF">
        <w:rPr>
          <w:rFonts w:ascii="Arial" w:hAnsi="Arial" w:cs="Arial"/>
          <w:i/>
          <w:sz w:val="22"/>
          <w:szCs w:val="22"/>
        </w:rPr>
        <w:t>“14. B) Issue No.2 : Employees Cost (actuarial valuation for terminal benefits) This issue is also covered by the Judgment dated 03.07.2013 of this Tribunal in Appeal No. 26–28 of 2009, 160 to 162 of 2010 &amp; batches and 147–149 of 2011 and 193-196 of 2012. The main argument of the learned counsel for the Appellant on this issue is that this Tribunal vide Judgment dated 03.07.2013 in Appeal No. 26-28 of 2009 &amp; batch has found that there is an inordinate delay in getting the report of Actuary appointed by the State Commission and in the absence of Actuary Report the State Commission has been deciding the terminal liability provisionally since 2009-10 which is not proper. The State Commission was directed by this Tribunal to either expedite the Report of its Actuary or else rely on the report of the Actuary appointed by the Appellant. The impugned order has in fact done precisely to the contrary. Whilst without considering the Actuary Report filed by the Appellant, continues to rely upon the old Actuary Valuation undertaken by the Orissa Commission and provisionally estimating a percentage increase on the same. This issue is also, being contrary to the view or preposition of law laid down by this Appellate Tribunal, decided in favor of the Appellants and all the findings recorded in the impugned order in support by the Orissa Commission are hereby quashed.”</w:t>
      </w:r>
    </w:p>
    <w:p w:rsidR="00246D4D" w:rsidRPr="005E3BDF" w:rsidRDefault="00246D4D" w:rsidP="00246D4D">
      <w:pPr>
        <w:autoSpaceDE w:val="0"/>
        <w:autoSpaceDN w:val="0"/>
        <w:adjustRightInd w:val="0"/>
        <w:spacing w:line="360" w:lineRule="auto"/>
        <w:ind w:left="1440"/>
        <w:jc w:val="both"/>
        <w:rPr>
          <w:rFonts w:ascii="Arial" w:hAnsi="Arial" w:cs="Arial"/>
          <w:sz w:val="22"/>
          <w:szCs w:val="22"/>
        </w:rPr>
      </w:pPr>
      <w:r w:rsidRPr="005E3BDF">
        <w:rPr>
          <w:rFonts w:ascii="Arial" w:hAnsi="Arial" w:cs="Arial"/>
          <w:sz w:val="22"/>
          <w:szCs w:val="22"/>
        </w:rPr>
        <w:t>Inspite of the above, the legitimate employees cost has not yet allowed in tariff and due to non recovery of cost, the Employees Trust Funds could not be funded. Consequently employees are feeling let down.</w:t>
      </w:r>
    </w:p>
    <w:p w:rsidR="00246D4D" w:rsidRPr="005E3BDF" w:rsidRDefault="00246D4D" w:rsidP="00B04A3F">
      <w:pPr>
        <w:numPr>
          <w:ilvl w:val="0"/>
          <w:numId w:val="29"/>
        </w:numPr>
        <w:autoSpaceDE w:val="0"/>
        <w:autoSpaceDN w:val="0"/>
        <w:adjustRightInd w:val="0"/>
        <w:spacing w:after="240" w:line="360" w:lineRule="auto"/>
        <w:jc w:val="both"/>
        <w:rPr>
          <w:rFonts w:ascii="Arial" w:hAnsi="Arial" w:cs="Arial"/>
          <w:b/>
          <w:sz w:val="22"/>
          <w:szCs w:val="22"/>
          <w:lang w:val="en-GB"/>
        </w:rPr>
      </w:pPr>
      <w:r w:rsidRPr="005E3BDF">
        <w:rPr>
          <w:rFonts w:ascii="Arial" w:hAnsi="Arial" w:cs="Arial"/>
          <w:sz w:val="22"/>
          <w:szCs w:val="22"/>
        </w:rPr>
        <w:t xml:space="preserve">Additionally, Hon’ble OERC has not considered the legitimate expenses viz Provision for Bad &amp; Doubtful Debt, Other Expenses, Contingency Reserve etc.  </w:t>
      </w:r>
      <w:r w:rsidRPr="005E3BDF">
        <w:rPr>
          <w:rFonts w:ascii="Arial" w:hAnsi="Arial" w:cs="Arial"/>
          <w:sz w:val="22"/>
          <w:szCs w:val="22"/>
        </w:rPr>
        <w:lastRenderedPageBreak/>
        <w:t>as per the Audited Accounts submitted by DISCOMs and over and above notional sales on the basis of unrealistic normative losses are loaded which artificially create surplus in DISCOMs. Due to such truing up exercise for years together, which made DISCOMs completely financially unviable, unmanageable and unsustainable, not even in a position to function efficiently with Escrow mechanism in force, no money left with licensees to maintain quality supply, attend breakdowns, take safety measures, cannot discharge statutory dues.</w:t>
      </w:r>
    </w:p>
    <w:p w:rsidR="00246D4D" w:rsidRPr="00E93D6E" w:rsidRDefault="00246D4D" w:rsidP="00CF66A5">
      <w:pPr>
        <w:pStyle w:val="Heading1"/>
        <w:numPr>
          <w:ilvl w:val="1"/>
          <w:numId w:val="49"/>
        </w:numPr>
        <w:spacing w:line="360" w:lineRule="auto"/>
        <w:jc w:val="both"/>
        <w:rPr>
          <w:sz w:val="22"/>
          <w:szCs w:val="22"/>
        </w:rPr>
      </w:pPr>
      <w:bookmarkStart w:id="103" w:name="_Toc403668719"/>
      <w:bookmarkStart w:id="104" w:name="_Toc404940201"/>
      <w:r w:rsidRPr="00E93D6E">
        <w:rPr>
          <w:sz w:val="22"/>
          <w:szCs w:val="22"/>
        </w:rPr>
        <w:t>Energy Police Stations</w:t>
      </w:r>
      <w:bookmarkEnd w:id="103"/>
      <w:bookmarkEnd w:id="104"/>
    </w:p>
    <w:p w:rsidR="00246D4D" w:rsidRPr="00E93D6E" w:rsidRDefault="00246D4D" w:rsidP="00246D4D">
      <w:pPr>
        <w:spacing w:line="360" w:lineRule="auto"/>
        <w:ind w:left="806"/>
        <w:jc w:val="both"/>
        <w:rPr>
          <w:rFonts w:ascii="Arial" w:hAnsi="Arial" w:cs="Arial"/>
          <w:sz w:val="22"/>
          <w:szCs w:val="22"/>
        </w:rPr>
      </w:pPr>
      <w:r w:rsidRPr="00E93D6E">
        <w:rPr>
          <w:rFonts w:ascii="Arial" w:hAnsi="Arial" w:cs="Arial"/>
          <w:b/>
          <w:sz w:val="22"/>
          <w:szCs w:val="22"/>
        </w:rPr>
        <w:t xml:space="preserve">State Government Support </w:t>
      </w:r>
      <w:r w:rsidRPr="00E93D6E">
        <w:rPr>
          <w:rFonts w:ascii="Arial" w:hAnsi="Arial" w:cs="Arial"/>
          <w:sz w:val="22"/>
          <w:szCs w:val="22"/>
        </w:rPr>
        <w:t>– As per state govt direction all the police stations under the distribution area has already opened. A comparative table of the sanctioned and actual no of police stations is as under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0"/>
        <w:gridCol w:w="2866"/>
        <w:gridCol w:w="2829"/>
      </w:tblGrid>
      <w:tr w:rsidR="00246D4D" w:rsidRPr="00E93D6E" w:rsidTr="00246D4D">
        <w:tc>
          <w:tcPr>
            <w:tcW w:w="2830" w:type="dxa"/>
          </w:tcPr>
          <w:p w:rsidR="00246D4D" w:rsidRPr="00E93D6E" w:rsidRDefault="00246D4D" w:rsidP="00246D4D">
            <w:pPr>
              <w:spacing w:line="360" w:lineRule="auto"/>
              <w:jc w:val="both"/>
              <w:rPr>
                <w:rFonts w:ascii="Arial" w:hAnsi="Arial" w:cs="Arial"/>
                <w:sz w:val="22"/>
                <w:szCs w:val="22"/>
              </w:rPr>
            </w:pPr>
            <w:r w:rsidRPr="00E93D6E">
              <w:rPr>
                <w:rFonts w:ascii="Arial" w:hAnsi="Arial" w:cs="Arial"/>
                <w:sz w:val="22"/>
                <w:szCs w:val="22"/>
              </w:rPr>
              <w:t xml:space="preserve">No of Police Stations </w:t>
            </w:r>
          </w:p>
        </w:tc>
        <w:tc>
          <w:tcPr>
            <w:tcW w:w="2866" w:type="dxa"/>
          </w:tcPr>
          <w:p w:rsidR="00246D4D" w:rsidRPr="00E93D6E" w:rsidRDefault="00246D4D" w:rsidP="00246D4D">
            <w:pPr>
              <w:spacing w:line="360" w:lineRule="auto"/>
              <w:jc w:val="both"/>
              <w:rPr>
                <w:rFonts w:ascii="Arial" w:hAnsi="Arial" w:cs="Arial"/>
                <w:sz w:val="22"/>
                <w:szCs w:val="22"/>
              </w:rPr>
            </w:pPr>
            <w:r w:rsidRPr="00E93D6E">
              <w:rPr>
                <w:rFonts w:ascii="Arial" w:hAnsi="Arial" w:cs="Arial"/>
                <w:sz w:val="22"/>
                <w:szCs w:val="22"/>
              </w:rPr>
              <w:t>Sanctioned</w:t>
            </w:r>
          </w:p>
        </w:tc>
        <w:tc>
          <w:tcPr>
            <w:tcW w:w="2829" w:type="dxa"/>
          </w:tcPr>
          <w:p w:rsidR="00246D4D" w:rsidRPr="00E93D6E" w:rsidRDefault="00246D4D" w:rsidP="00246D4D">
            <w:pPr>
              <w:spacing w:line="360" w:lineRule="auto"/>
              <w:jc w:val="both"/>
              <w:rPr>
                <w:rFonts w:ascii="Arial" w:hAnsi="Arial" w:cs="Arial"/>
                <w:sz w:val="22"/>
                <w:szCs w:val="22"/>
              </w:rPr>
            </w:pPr>
            <w:r w:rsidRPr="00E93D6E">
              <w:rPr>
                <w:rFonts w:ascii="Arial" w:hAnsi="Arial" w:cs="Arial"/>
                <w:sz w:val="22"/>
                <w:szCs w:val="22"/>
              </w:rPr>
              <w:t>Police Stations set up</w:t>
            </w:r>
          </w:p>
        </w:tc>
      </w:tr>
      <w:tr w:rsidR="00257080" w:rsidRPr="00E93D6E" w:rsidTr="00246D4D">
        <w:tc>
          <w:tcPr>
            <w:tcW w:w="2830" w:type="dxa"/>
          </w:tcPr>
          <w:p w:rsidR="00257080" w:rsidRPr="00E93D6E" w:rsidRDefault="00257080" w:rsidP="005C5BF5">
            <w:pPr>
              <w:spacing w:line="360" w:lineRule="auto"/>
              <w:jc w:val="both"/>
              <w:rPr>
                <w:rFonts w:ascii="Arial" w:hAnsi="Arial" w:cs="Arial"/>
                <w:sz w:val="22"/>
                <w:szCs w:val="22"/>
              </w:rPr>
            </w:pPr>
            <w:r w:rsidRPr="00E93D6E">
              <w:rPr>
                <w:rFonts w:ascii="Arial" w:hAnsi="Arial" w:cs="Arial"/>
                <w:sz w:val="22"/>
                <w:szCs w:val="22"/>
              </w:rPr>
              <w:t>NESCO</w:t>
            </w:r>
          </w:p>
        </w:tc>
        <w:tc>
          <w:tcPr>
            <w:tcW w:w="2866" w:type="dxa"/>
          </w:tcPr>
          <w:p w:rsidR="00257080" w:rsidRPr="00E93D6E" w:rsidRDefault="00257080" w:rsidP="005C5BF5">
            <w:pPr>
              <w:spacing w:line="360" w:lineRule="auto"/>
              <w:jc w:val="center"/>
              <w:rPr>
                <w:rFonts w:ascii="Arial" w:hAnsi="Arial" w:cs="Arial"/>
                <w:sz w:val="22"/>
                <w:szCs w:val="22"/>
              </w:rPr>
            </w:pPr>
            <w:r w:rsidRPr="00E93D6E">
              <w:rPr>
                <w:rFonts w:ascii="Arial" w:hAnsi="Arial" w:cs="Arial"/>
                <w:sz w:val="22"/>
                <w:szCs w:val="22"/>
              </w:rPr>
              <w:t>6</w:t>
            </w:r>
          </w:p>
        </w:tc>
        <w:tc>
          <w:tcPr>
            <w:tcW w:w="2829" w:type="dxa"/>
          </w:tcPr>
          <w:p w:rsidR="00257080" w:rsidRPr="00E93D6E" w:rsidRDefault="00257080" w:rsidP="005C5BF5">
            <w:pPr>
              <w:spacing w:line="360" w:lineRule="auto"/>
              <w:jc w:val="center"/>
              <w:rPr>
                <w:rFonts w:ascii="Arial" w:hAnsi="Arial" w:cs="Arial"/>
                <w:sz w:val="22"/>
                <w:szCs w:val="22"/>
              </w:rPr>
            </w:pPr>
            <w:r w:rsidRPr="00E93D6E">
              <w:rPr>
                <w:rFonts w:ascii="Arial" w:hAnsi="Arial" w:cs="Arial"/>
                <w:sz w:val="22"/>
                <w:szCs w:val="22"/>
              </w:rPr>
              <w:t>5</w:t>
            </w:r>
          </w:p>
        </w:tc>
      </w:tr>
    </w:tbl>
    <w:p w:rsidR="00246D4D" w:rsidRPr="00E93D6E" w:rsidRDefault="00246D4D" w:rsidP="00B04A3F">
      <w:pPr>
        <w:numPr>
          <w:ilvl w:val="0"/>
          <w:numId w:val="4"/>
        </w:numPr>
        <w:spacing w:line="360" w:lineRule="auto"/>
        <w:jc w:val="both"/>
        <w:rPr>
          <w:rFonts w:ascii="Arial" w:hAnsi="Arial" w:cs="Arial"/>
          <w:b/>
          <w:sz w:val="22"/>
          <w:szCs w:val="22"/>
        </w:rPr>
      </w:pPr>
      <w:r w:rsidRPr="00E93D6E">
        <w:rPr>
          <w:rFonts w:ascii="Arial" w:hAnsi="Arial" w:cs="Arial"/>
          <w:b/>
          <w:sz w:val="22"/>
          <w:szCs w:val="22"/>
        </w:rPr>
        <w:t>Constraints faced with Police Stations</w:t>
      </w:r>
    </w:p>
    <w:p w:rsidR="00246D4D" w:rsidRPr="00E93D6E" w:rsidRDefault="00246D4D" w:rsidP="00B04A3F">
      <w:pPr>
        <w:numPr>
          <w:ilvl w:val="1"/>
          <w:numId w:val="4"/>
        </w:numPr>
        <w:spacing w:line="360" w:lineRule="auto"/>
        <w:jc w:val="both"/>
        <w:rPr>
          <w:rFonts w:ascii="Arial" w:hAnsi="Arial" w:cs="Arial"/>
          <w:sz w:val="22"/>
          <w:szCs w:val="22"/>
        </w:rPr>
      </w:pPr>
      <w:r w:rsidRPr="00E93D6E">
        <w:rPr>
          <w:rFonts w:ascii="Arial" w:hAnsi="Arial" w:cs="Arial"/>
          <w:b/>
          <w:sz w:val="22"/>
          <w:szCs w:val="22"/>
        </w:rPr>
        <w:t xml:space="preserve">Inadequate Staff </w:t>
      </w:r>
      <w:r w:rsidRPr="00E93D6E">
        <w:rPr>
          <w:rFonts w:ascii="Arial" w:hAnsi="Arial" w:cs="Arial"/>
          <w:sz w:val="22"/>
          <w:szCs w:val="22"/>
        </w:rPr>
        <w:t>at Energy Police Station</w:t>
      </w:r>
    </w:p>
    <w:p w:rsidR="00246D4D" w:rsidRPr="00E93D6E" w:rsidRDefault="00246D4D" w:rsidP="00B04A3F">
      <w:pPr>
        <w:numPr>
          <w:ilvl w:val="1"/>
          <w:numId w:val="4"/>
        </w:numPr>
        <w:spacing w:line="360" w:lineRule="auto"/>
        <w:jc w:val="both"/>
        <w:rPr>
          <w:rFonts w:ascii="Arial" w:hAnsi="Arial" w:cs="Arial"/>
          <w:sz w:val="22"/>
          <w:szCs w:val="22"/>
        </w:rPr>
      </w:pPr>
      <w:r w:rsidRPr="00E93D6E">
        <w:rPr>
          <w:rFonts w:ascii="Arial" w:hAnsi="Arial" w:cs="Arial"/>
          <w:b/>
          <w:sz w:val="22"/>
          <w:szCs w:val="22"/>
        </w:rPr>
        <w:t>Refusal</w:t>
      </w:r>
      <w:r w:rsidRPr="00E93D6E">
        <w:rPr>
          <w:rFonts w:ascii="Arial" w:hAnsi="Arial" w:cs="Arial"/>
          <w:sz w:val="22"/>
          <w:szCs w:val="22"/>
        </w:rPr>
        <w:t xml:space="preserve"> and reluctance to accept  F.I.RRs.s, even by Energy Police Stations in the name of inadequate staff of proper cadre.</w:t>
      </w:r>
    </w:p>
    <w:p w:rsidR="00246D4D" w:rsidRPr="00E93D6E" w:rsidRDefault="00246D4D" w:rsidP="00B04A3F">
      <w:pPr>
        <w:numPr>
          <w:ilvl w:val="1"/>
          <w:numId w:val="4"/>
        </w:numPr>
        <w:spacing w:line="360" w:lineRule="auto"/>
        <w:jc w:val="both"/>
        <w:rPr>
          <w:rFonts w:ascii="Arial" w:hAnsi="Arial" w:cs="Arial"/>
          <w:sz w:val="22"/>
          <w:szCs w:val="22"/>
        </w:rPr>
      </w:pPr>
      <w:r w:rsidRPr="00E93D6E">
        <w:rPr>
          <w:rFonts w:ascii="Arial" w:hAnsi="Arial" w:cs="Arial"/>
          <w:b/>
          <w:sz w:val="22"/>
          <w:szCs w:val="22"/>
        </w:rPr>
        <w:t>Absenteeism-</w:t>
      </w:r>
      <w:r w:rsidRPr="00E93D6E">
        <w:rPr>
          <w:rFonts w:ascii="Arial" w:hAnsi="Arial" w:cs="Arial"/>
          <w:sz w:val="22"/>
          <w:szCs w:val="22"/>
        </w:rPr>
        <w:t xml:space="preserve"> Staffs are found absent due to their preoccupation/ deployment on other assignments (VIP duty, festival duty, law and order etc.), as they are under direct administrative control of the District S.P.</w:t>
      </w:r>
    </w:p>
    <w:p w:rsidR="00246D4D" w:rsidRPr="00E93D6E" w:rsidRDefault="00246D4D" w:rsidP="00B04A3F">
      <w:pPr>
        <w:numPr>
          <w:ilvl w:val="1"/>
          <w:numId w:val="4"/>
        </w:numPr>
        <w:spacing w:line="360" w:lineRule="auto"/>
        <w:jc w:val="both"/>
        <w:rPr>
          <w:rFonts w:ascii="Arial" w:hAnsi="Arial" w:cs="Arial"/>
          <w:sz w:val="22"/>
          <w:szCs w:val="22"/>
        </w:rPr>
      </w:pPr>
      <w:r w:rsidRPr="00E93D6E">
        <w:rPr>
          <w:rFonts w:ascii="Arial" w:hAnsi="Arial" w:cs="Arial"/>
          <w:b/>
          <w:sz w:val="22"/>
          <w:szCs w:val="22"/>
        </w:rPr>
        <w:t>Non participation on Enforcement Drives</w:t>
      </w:r>
      <w:r w:rsidRPr="00E93D6E">
        <w:rPr>
          <w:rFonts w:ascii="Arial" w:hAnsi="Arial" w:cs="Arial"/>
          <w:sz w:val="22"/>
          <w:szCs w:val="22"/>
        </w:rPr>
        <w:t xml:space="preserve"> -Staffs provided at Energy Police Station are generally not associating in the enforcement raids with the Licensee’s staff with a plea that they are meant for lodging FIRs only and can not stand as evidence in vigilance/enforcement raids.</w:t>
      </w:r>
    </w:p>
    <w:p w:rsidR="00246D4D" w:rsidRPr="00E93D6E" w:rsidRDefault="00246D4D" w:rsidP="00B04A3F">
      <w:pPr>
        <w:numPr>
          <w:ilvl w:val="1"/>
          <w:numId w:val="4"/>
        </w:numPr>
        <w:spacing w:line="360" w:lineRule="auto"/>
        <w:jc w:val="both"/>
        <w:rPr>
          <w:rFonts w:ascii="Arial" w:hAnsi="Arial" w:cs="Arial"/>
          <w:sz w:val="22"/>
          <w:szCs w:val="22"/>
        </w:rPr>
      </w:pPr>
      <w:r w:rsidRPr="00E93D6E">
        <w:rPr>
          <w:rFonts w:ascii="Arial" w:hAnsi="Arial" w:cs="Arial"/>
          <w:b/>
          <w:sz w:val="22"/>
          <w:szCs w:val="22"/>
        </w:rPr>
        <w:t>In the absence of administrative support</w:t>
      </w:r>
      <w:r w:rsidRPr="00E93D6E">
        <w:rPr>
          <w:rFonts w:ascii="Arial" w:hAnsi="Arial" w:cs="Arial"/>
          <w:sz w:val="22"/>
          <w:szCs w:val="22"/>
        </w:rPr>
        <w:t xml:space="preserve">, Discoms are finding it difficult to curb theft. As a result, transformers are getting overloaded leading to high instances of transformer failure. Further Discoms are being pressurized from all quarters to replace transformers without insisting on collection of a minimum amount of arrears as due. </w:t>
      </w:r>
    </w:p>
    <w:p w:rsidR="00246D4D" w:rsidRPr="00E93D6E" w:rsidRDefault="00246D4D" w:rsidP="00B04A3F">
      <w:pPr>
        <w:numPr>
          <w:ilvl w:val="0"/>
          <w:numId w:val="4"/>
        </w:numPr>
        <w:spacing w:line="360" w:lineRule="auto"/>
        <w:jc w:val="both"/>
        <w:rPr>
          <w:rFonts w:ascii="Arial" w:hAnsi="Arial" w:cs="Arial"/>
          <w:b/>
          <w:sz w:val="22"/>
          <w:szCs w:val="22"/>
        </w:rPr>
      </w:pPr>
      <w:r w:rsidRPr="00E93D6E">
        <w:rPr>
          <w:rFonts w:ascii="Arial" w:hAnsi="Arial" w:cs="Arial"/>
          <w:b/>
          <w:sz w:val="22"/>
          <w:szCs w:val="22"/>
        </w:rPr>
        <w:t xml:space="preserve">Submission of the Licensee – </w:t>
      </w:r>
    </w:p>
    <w:p w:rsidR="00246D4D" w:rsidRPr="00E93D6E" w:rsidRDefault="00246D4D" w:rsidP="00B04A3F">
      <w:pPr>
        <w:numPr>
          <w:ilvl w:val="0"/>
          <w:numId w:val="5"/>
        </w:numPr>
        <w:tabs>
          <w:tab w:val="clear" w:pos="360"/>
          <w:tab w:val="num" w:pos="1080"/>
        </w:tabs>
        <w:spacing w:line="360" w:lineRule="auto"/>
        <w:ind w:left="1080"/>
        <w:jc w:val="both"/>
        <w:rPr>
          <w:rFonts w:ascii="Arial" w:hAnsi="Arial" w:cs="Arial"/>
          <w:sz w:val="22"/>
          <w:szCs w:val="22"/>
        </w:rPr>
      </w:pPr>
      <w:r w:rsidRPr="00E93D6E">
        <w:rPr>
          <w:rFonts w:ascii="Arial" w:hAnsi="Arial" w:cs="Arial"/>
          <w:b/>
          <w:sz w:val="22"/>
          <w:szCs w:val="22"/>
        </w:rPr>
        <w:t>Widening the Jurisdiction</w:t>
      </w:r>
      <w:r w:rsidRPr="00E93D6E">
        <w:rPr>
          <w:rFonts w:ascii="Arial" w:hAnsi="Arial" w:cs="Arial"/>
          <w:sz w:val="22"/>
          <w:szCs w:val="22"/>
        </w:rPr>
        <w:t xml:space="preserve"> -Govt. may take initiation immediately for engagement adequate staff in each Revenue District covering the Licensee area. The police officers should be made responsible to associate the Supply engineer for detection of the theft and raid of the consumer’s premises who are stealing power jointly with the supply engineer.</w:t>
      </w:r>
    </w:p>
    <w:p w:rsidR="00246D4D" w:rsidRPr="00E93D6E" w:rsidRDefault="00246D4D" w:rsidP="00246D4D">
      <w:pPr>
        <w:spacing w:line="360" w:lineRule="auto"/>
        <w:ind w:left="720"/>
        <w:jc w:val="both"/>
        <w:rPr>
          <w:rFonts w:ascii="Arial" w:hAnsi="Arial" w:cs="Arial"/>
          <w:sz w:val="22"/>
          <w:szCs w:val="22"/>
        </w:rPr>
      </w:pPr>
    </w:p>
    <w:p w:rsidR="00246D4D" w:rsidRPr="00E93D6E" w:rsidRDefault="00246D4D" w:rsidP="00B04A3F">
      <w:pPr>
        <w:numPr>
          <w:ilvl w:val="0"/>
          <w:numId w:val="5"/>
        </w:numPr>
        <w:tabs>
          <w:tab w:val="clear" w:pos="360"/>
          <w:tab w:val="num" w:pos="1080"/>
        </w:tabs>
        <w:spacing w:line="360" w:lineRule="auto"/>
        <w:ind w:left="1080"/>
        <w:jc w:val="both"/>
        <w:rPr>
          <w:rFonts w:ascii="Arial" w:hAnsi="Arial" w:cs="Arial"/>
          <w:sz w:val="22"/>
          <w:szCs w:val="22"/>
        </w:rPr>
      </w:pPr>
      <w:r w:rsidRPr="00E93D6E">
        <w:rPr>
          <w:rFonts w:ascii="Arial" w:hAnsi="Arial" w:cs="Arial"/>
          <w:b/>
          <w:sz w:val="22"/>
          <w:szCs w:val="22"/>
        </w:rPr>
        <w:lastRenderedPageBreak/>
        <w:t>Joint Review by MD &amp; S.P</w:t>
      </w:r>
      <w:r w:rsidRPr="00E93D6E">
        <w:rPr>
          <w:rFonts w:ascii="Arial" w:hAnsi="Arial" w:cs="Arial"/>
          <w:sz w:val="22"/>
          <w:szCs w:val="22"/>
        </w:rPr>
        <w:t xml:space="preserve"> – Regular review of operations by S.P and VP of Discoms on a monthly basis is required, followed by review at the level of IG in every quarter.</w:t>
      </w:r>
    </w:p>
    <w:p w:rsidR="00246D4D" w:rsidRPr="00E93D6E" w:rsidRDefault="00246D4D" w:rsidP="00B04A3F">
      <w:pPr>
        <w:numPr>
          <w:ilvl w:val="0"/>
          <w:numId w:val="5"/>
        </w:numPr>
        <w:tabs>
          <w:tab w:val="clear" w:pos="360"/>
          <w:tab w:val="num" w:pos="1080"/>
        </w:tabs>
        <w:spacing w:line="360" w:lineRule="auto"/>
        <w:ind w:left="1080"/>
        <w:jc w:val="both"/>
        <w:rPr>
          <w:rFonts w:ascii="Arial" w:hAnsi="Arial" w:cs="Arial"/>
          <w:sz w:val="22"/>
          <w:szCs w:val="22"/>
        </w:rPr>
      </w:pPr>
      <w:r w:rsidRPr="00E93D6E">
        <w:rPr>
          <w:rFonts w:ascii="Arial" w:hAnsi="Arial" w:cs="Arial"/>
          <w:b/>
          <w:sz w:val="22"/>
          <w:szCs w:val="22"/>
        </w:rPr>
        <w:t>Conducting joint workshops at District level</w:t>
      </w:r>
      <w:r w:rsidRPr="00E93D6E">
        <w:rPr>
          <w:rFonts w:ascii="Arial" w:hAnsi="Arial" w:cs="Arial"/>
          <w:sz w:val="22"/>
          <w:szCs w:val="22"/>
        </w:rPr>
        <w:t xml:space="preserve"> – involving Discom staff and Police Officials on anti theft legislations </w:t>
      </w:r>
    </w:p>
    <w:p w:rsidR="00246D4D" w:rsidRPr="00246D4D" w:rsidRDefault="00246D4D" w:rsidP="00246D4D"/>
    <w:p w:rsidR="00444C43" w:rsidRDefault="00444C43" w:rsidP="00BE091A">
      <w:pPr>
        <w:pStyle w:val="NoSpacing"/>
        <w:rPr>
          <w:lang w:eastAsia="en-IN"/>
        </w:rPr>
      </w:pPr>
    </w:p>
    <w:p w:rsidR="00E93D6E" w:rsidRPr="00E93D6E" w:rsidRDefault="00E93D6E" w:rsidP="00E93D6E">
      <w:pPr>
        <w:pStyle w:val="Heading1"/>
        <w:numPr>
          <w:ilvl w:val="1"/>
          <w:numId w:val="49"/>
        </w:numPr>
        <w:spacing w:line="360" w:lineRule="auto"/>
        <w:jc w:val="both"/>
        <w:rPr>
          <w:sz w:val="22"/>
          <w:szCs w:val="22"/>
        </w:rPr>
      </w:pPr>
      <w:bookmarkStart w:id="105" w:name="_Toc404940202"/>
      <w:r w:rsidRPr="00E93D6E">
        <w:rPr>
          <w:sz w:val="22"/>
          <w:szCs w:val="22"/>
        </w:rPr>
        <w:t>Organisational Set up for Disaster response</w:t>
      </w:r>
      <w:bookmarkEnd w:id="105"/>
    </w:p>
    <w:p w:rsidR="00E93D6E" w:rsidRPr="001D5D02" w:rsidRDefault="00E93D6E" w:rsidP="00E93D6E">
      <w:pPr>
        <w:spacing w:line="360" w:lineRule="auto"/>
        <w:jc w:val="both"/>
        <w:rPr>
          <w:rFonts w:ascii="Arial" w:hAnsi="Arial" w:cs="Arial"/>
          <w:sz w:val="22"/>
          <w:szCs w:val="22"/>
        </w:rPr>
      </w:pPr>
      <w:r>
        <w:rPr>
          <w:rFonts w:ascii="Arial" w:hAnsi="Arial" w:cs="Arial"/>
          <w:sz w:val="22"/>
          <w:szCs w:val="22"/>
        </w:rPr>
        <w:t>T</w:t>
      </w:r>
      <w:r w:rsidRPr="001D5D02">
        <w:rPr>
          <w:rFonts w:ascii="Arial" w:hAnsi="Arial" w:cs="Arial"/>
          <w:sz w:val="22"/>
          <w:szCs w:val="22"/>
        </w:rPr>
        <w:t xml:space="preserve">he </w:t>
      </w:r>
      <w:r>
        <w:rPr>
          <w:rFonts w:ascii="Arial" w:hAnsi="Arial" w:cs="Arial"/>
          <w:sz w:val="22"/>
          <w:szCs w:val="22"/>
        </w:rPr>
        <w:t xml:space="preserve">entire </w:t>
      </w:r>
      <w:r w:rsidRPr="001D5D02">
        <w:rPr>
          <w:rFonts w:ascii="Arial" w:hAnsi="Arial" w:cs="Arial"/>
          <w:sz w:val="22"/>
          <w:szCs w:val="22"/>
        </w:rPr>
        <w:t xml:space="preserve">State </w:t>
      </w:r>
      <w:r>
        <w:rPr>
          <w:rFonts w:ascii="Arial" w:hAnsi="Arial" w:cs="Arial"/>
          <w:sz w:val="22"/>
          <w:szCs w:val="22"/>
        </w:rPr>
        <w:t>is</w:t>
      </w:r>
      <w:r w:rsidRPr="001D5D02">
        <w:rPr>
          <w:rFonts w:ascii="Arial" w:hAnsi="Arial" w:cs="Arial"/>
          <w:sz w:val="22"/>
          <w:szCs w:val="22"/>
        </w:rPr>
        <w:t xml:space="preserve"> prone to cyclone resulting in frequent damages to the Power Distribution network. Due to recu</w:t>
      </w:r>
      <w:r>
        <w:rPr>
          <w:rFonts w:ascii="Arial" w:hAnsi="Arial" w:cs="Arial"/>
          <w:sz w:val="22"/>
          <w:szCs w:val="22"/>
        </w:rPr>
        <w:t>rrence of the disasters, the Lic</w:t>
      </w:r>
      <w:r w:rsidRPr="001D5D02">
        <w:rPr>
          <w:rFonts w:ascii="Arial" w:hAnsi="Arial" w:cs="Arial"/>
          <w:sz w:val="22"/>
          <w:szCs w:val="22"/>
        </w:rPr>
        <w:t xml:space="preserve">ensee proposes for an institutional set up for quick response to the disaster and mitigation of the risks at quickest time. </w:t>
      </w:r>
    </w:p>
    <w:p w:rsidR="00E93D6E" w:rsidRPr="001D5D02" w:rsidRDefault="00E93D6E" w:rsidP="00E93D6E">
      <w:pPr>
        <w:pStyle w:val="ListParagraph"/>
        <w:numPr>
          <w:ilvl w:val="0"/>
          <w:numId w:val="55"/>
        </w:numPr>
        <w:spacing w:line="360" w:lineRule="auto"/>
        <w:ind w:left="567"/>
        <w:jc w:val="both"/>
        <w:rPr>
          <w:rFonts w:ascii="Arial" w:hAnsi="Arial" w:cs="Arial"/>
        </w:rPr>
      </w:pPr>
      <w:r w:rsidRPr="001D5D02">
        <w:rPr>
          <w:rFonts w:ascii="Arial" w:hAnsi="Arial" w:cs="Arial"/>
        </w:rPr>
        <w:t xml:space="preserve">Each of the Supply Divisions shall have one Disaster Management Cell (DMC). The DMC shall have the emergency supply restoration equipments such as pole mounting tractors, Mobile substations, Emergency restoration system for HT line, Hydrolic jags, Hydolic pooling machine, Cable jointing tools, gas cutters, power cutters, Trifor, Tripod and single derricks, chain pulley block, Pulley, manila/ PP rope, wielding machine, drilling, insulation megger, earth tester, Tounge Tester, spanner sets, portable 5kva generator sets, etc. The number of equipments shall be commensurating the size of the division. </w:t>
      </w:r>
    </w:p>
    <w:p w:rsidR="00E93D6E" w:rsidRPr="001D5D02" w:rsidRDefault="00E93D6E" w:rsidP="00E93D6E">
      <w:pPr>
        <w:pStyle w:val="ListParagraph"/>
        <w:numPr>
          <w:ilvl w:val="0"/>
          <w:numId w:val="55"/>
        </w:numPr>
        <w:spacing w:line="360" w:lineRule="auto"/>
        <w:ind w:left="567"/>
        <w:jc w:val="both"/>
        <w:rPr>
          <w:rFonts w:ascii="Arial" w:hAnsi="Arial" w:cs="Arial"/>
        </w:rPr>
      </w:pPr>
      <w:r w:rsidRPr="001D5D02">
        <w:rPr>
          <w:rFonts w:ascii="Arial" w:hAnsi="Arial" w:cs="Arial"/>
        </w:rPr>
        <w:t xml:space="preserve">Adequate number of staffs (linemen, helper and officers) shall be identified and trained to meet the exigency during disaster time. </w:t>
      </w:r>
    </w:p>
    <w:p w:rsidR="00E93D6E" w:rsidRPr="001D5D02" w:rsidRDefault="00E93D6E" w:rsidP="00E93D6E">
      <w:pPr>
        <w:pStyle w:val="ListParagraph"/>
        <w:numPr>
          <w:ilvl w:val="0"/>
          <w:numId w:val="55"/>
        </w:numPr>
        <w:spacing w:line="360" w:lineRule="auto"/>
        <w:ind w:left="567"/>
        <w:jc w:val="both"/>
        <w:rPr>
          <w:rFonts w:ascii="Arial" w:hAnsi="Arial" w:cs="Arial"/>
        </w:rPr>
      </w:pPr>
      <w:r w:rsidRPr="001D5D02">
        <w:rPr>
          <w:rFonts w:ascii="Arial" w:hAnsi="Arial" w:cs="Arial"/>
        </w:rPr>
        <w:t>Mock drill shall be done mostly in the month of June as preparedness exercise.</w:t>
      </w:r>
    </w:p>
    <w:p w:rsidR="00E93D6E" w:rsidRPr="001D5D02" w:rsidRDefault="00E93D6E" w:rsidP="00E93D6E">
      <w:pPr>
        <w:spacing w:line="360" w:lineRule="auto"/>
        <w:jc w:val="both"/>
        <w:rPr>
          <w:rFonts w:ascii="Arial" w:hAnsi="Arial" w:cs="Arial"/>
          <w:sz w:val="22"/>
          <w:szCs w:val="22"/>
        </w:rPr>
      </w:pPr>
      <w:r w:rsidRPr="001D5D02">
        <w:rPr>
          <w:rFonts w:ascii="Arial" w:hAnsi="Arial" w:cs="Arial"/>
          <w:sz w:val="22"/>
          <w:szCs w:val="22"/>
        </w:rPr>
        <w:t>The Licensee prop</w:t>
      </w:r>
      <w:r>
        <w:rPr>
          <w:rFonts w:ascii="Arial" w:hAnsi="Arial" w:cs="Arial"/>
          <w:sz w:val="22"/>
          <w:szCs w:val="22"/>
        </w:rPr>
        <w:t>oses an additional cost of Rs.39.8</w:t>
      </w:r>
      <w:r w:rsidRPr="001D5D02">
        <w:rPr>
          <w:rFonts w:ascii="Arial" w:hAnsi="Arial" w:cs="Arial"/>
          <w:sz w:val="22"/>
          <w:szCs w:val="22"/>
        </w:rPr>
        <w:t xml:space="preserve">5crore  as  estimated below, the amount may be allowed over 2 years in the ARR of Discoms as an surcharge of 5paise per unit to be collected from the consumers to set up the above.  </w:t>
      </w:r>
    </w:p>
    <w:p w:rsidR="00E93D6E" w:rsidRPr="001D5D02" w:rsidRDefault="00E93D6E" w:rsidP="00E93D6E">
      <w:pPr>
        <w:spacing w:line="360" w:lineRule="auto"/>
        <w:rPr>
          <w:rFonts w:ascii="Arial" w:hAnsi="Arial" w:cs="Arial"/>
          <w:b/>
          <w:sz w:val="22"/>
          <w:szCs w:val="22"/>
        </w:rPr>
      </w:pPr>
      <w:r w:rsidRPr="001D5D02">
        <w:rPr>
          <w:rFonts w:ascii="Arial" w:hAnsi="Arial" w:cs="Arial"/>
          <w:b/>
          <w:sz w:val="22"/>
          <w:szCs w:val="22"/>
        </w:rPr>
        <w:t xml:space="preserve">Organisational Setup for Disaster Management </w:t>
      </w:r>
      <w:r>
        <w:rPr>
          <w:rFonts w:ascii="Arial" w:hAnsi="Arial" w:cs="Arial"/>
          <w:b/>
          <w:sz w:val="22"/>
          <w:szCs w:val="22"/>
        </w:rPr>
        <w:t>:</w:t>
      </w:r>
    </w:p>
    <w:tbl>
      <w:tblPr>
        <w:tblW w:w="9795" w:type="dxa"/>
        <w:tblInd w:w="97" w:type="dxa"/>
        <w:tblLook w:val="04A0"/>
      </w:tblPr>
      <w:tblGrid>
        <w:gridCol w:w="1091"/>
        <w:gridCol w:w="3870"/>
        <w:gridCol w:w="1393"/>
        <w:gridCol w:w="851"/>
        <w:gridCol w:w="1295"/>
        <w:gridCol w:w="1295"/>
      </w:tblGrid>
      <w:tr w:rsidR="00E93D6E" w:rsidRPr="001D5D02" w:rsidTr="00BC5318">
        <w:trPr>
          <w:trHeight w:val="20"/>
          <w:tblHeader/>
        </w:trPr>
        <w:tc>
          <w:tcPr>
            <w:tcW w:w="10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3D6E" w:rsidRPr="001D5D02" w:rsidRDefault="00E93D6E" w:rsidP="00BC5318">
            <w:pPr>
              <w:jc w:val="center"/>
              <w:rPr>
                <w:rFonts w:ascii="Arial" w:hAnsi="Arial" w:cs="Arial"/>
                <w:b/>
                <w:bCs/>
                <w:color w:val="000000"/>
                <w:sz w:val="22"/>
                <w:szCs w:val="22"/>
              </w:rPr>
            </w:pPr>
            <w:r w:rsidRPr="001D5D02">
              <w:rPr>
                <w:rFonts w:ascii="Arial" w:hAnsi="Arial" w:cs="Arial"/>
                <w:b/>
                <w:bCs/>
                <w:color w:val="000000"/>
                <w:sz w:val="22"/>
                <w:szCs w:val="22"/>
              </w:rPr>
              <w:t>SL. NO.</w:t>
            </w:r>
          </w:p>
        </w:tc>
        <w:tc>
          <w:tcPr>
            <w:tcW w:w="3870" w:type="dxa"/>
            <w:tcBorders>
              <w:top w:val="single" w:sz="4" w:space="0" w:color="auto"/>
              <w:left w:val="nil"/>
              <w:bottom w:val="single" w:sz="4" w:space="0" w:color="auto"/>
              <w:right w:val="single" w:sz="4" w:space="0" w:color="auto"/>
            </w:tcBorders>
            <w:shd w:val="clear" w:color="auto" w:fill="auto"/>
            <w:vAlign w:val="bottom"/>
            <w:hideMark/>
          </w:tcPr>
          <w:p w:rsidR="00E93D6E" w:rsidRPr="001D5D02" w:rsidRDefault="00E93D6E" w:rsidP="00BC5318">
            <w:pPr>
              <w:jc w:val="center"/>
              <w:rPr>
                <w:rFonts w:ascii="Arial" w:hAnsi="Arial" w:cs="Arial"/>
                <w:b/>
                <w:bCs/>
                <w:color w:val="000000"/>
                <w:sz w:val="22"/>
                <w:szCs w:val="22"/>
              </w:rPr>
            </w:pPr>
            <w:r w:rsidRPr="001D5D02">
              <w:rPr>
                <w:rFonts w:ascii="Arial" w:hAnsi="Arial" w:cs="Arial"/>
                <w:b/>
                <w:bCs/>
                <w:color w:val="000000"/>
                <w:sz w:val="22"/>
                <w:szCs w:val="22"/>
              </w:rPr>
              <w:t xml:space="preserve">ITEMS </w:t>
            </w:r>
          </w:p>
        </w:tc>
        <w:tc>
          <w:tcPr>
            <w:tcW w:w="2244" w:type="dxa"/>
            <w:gridSpan w:val="2"/>
            <w:tcBorders>
              <w:top w:val="single" w:sz="4" w:space="0" w:color="auto"/>
              <w:left w:val="nil"/>
              <w:bottom w:val="single" w:sz="4" w:space="0" w:color="auto"/>
              <w:right w:val="single" w:sz="4" w:space="0" w:color="000000"/>
            </w:tcBorders>
            <w:shd w:val="clear" w:color="auto" w:fill="auto"/>
            <w:vAlign w:val="bottom"/>
            <w:hideMark/>
          </w:tcPr>
          <w:p w:rsidR="00E93D6E" w:rsidRPr="001D5D02" w:rsidRDefault="00E93D6E" w:rsidP="00BC5318">
            <w:pPr>
              <w:jc w:val="center"/>
              <w:rPr>
                <w:rFonts w:ascii="Arial" w:hAnsi="Arial" w:cs="Arial"/>
                <w:b/>
                <w:bCs/>
                <w:color w:val="000000"/>
                <w:sz w:val="22"/>
                <w:szCs w:val="22"/>
              </w:rPr>
            </w:pPr>
            <w:r w:rsidRPr="001D5D02">
              <w:rPr>
                <w:rFonts w:ascii="Arial" w:hAnsi="Arial" w:cs="Arial"/>
                <w:b/>
                <w:bCs/>
                <w:color w:val="000000"/>
                <w:sz w:val="22"/>
                <w:szCs w:val="22"/>
              </w:rPr>
              <w:t xml:space="preserve">QUANTITY for all divisions       </w:t>
            </w:r>
          </w:p>
        </w:tc>
        <w:tc>
          <w:tcPr>
            <w:tcW w:w="1295" w:type="dxa"/>
            <w:tcBorders>
              <w:top w:val="single" w:sz="4" w:space="0" w:color="auto"/>
              <w:left w:val="nil"/>
              <w:bottom w:val="single" w:sz="4" w:space="0" w:color="auto"/>
              <w:right w:val="single" w:sz="4" w:space="0" w:color="auto"/>
            </w:tcBorders>
            <w:shd w:val="clear" w:color="auto" w:fill="auto"/>
            <w:vAlign w:val="bottom"/>
            <w:hideMark/>
          </w:tcPr>
          <w:p w:rsidR="00E93D6E" w:rsidRPr="001D5D02" w:rsidRDefault="00E93D6E" w:rsidP="00BC5318">
            <w:pPr>
              <w:jc w:val="center"/>
              <w:rPr>
                <w:rFonts w:ascii="Arial" w:hAnsi="Arial" w:cs="Arial"/>
                <w:b/>
                <w:bCs/>
                <w:color w:val="000000"/>
                <w:sz w:val="22"/>
                <w:szCs w:val="22"/>
              </w:rPr>
            </w:pPr>
            <w:r w:rsidRPr="001D5D02">
              <w:rPr>
                <w:rFonts w:ascii="Arial" w:hAnsi="Arial" w:cs="Arial"/>
                <w:b/>
                <w:bCs/>
                <w:color w:val="000000"/>
                <w:sz w:val="22"/>
                <w:szCs w:val="22"/>
              </w:rPr>
              <w:t>UNITS RATE</w:t>
            </w:r>
          </w:p>
        </w:tc>
        <w:tc>
          <w:tcPr>
            <w:tcW w:w="1295" w:type="dxa"/>
            <w:tcBorders>
              <w:top w:val="single" w:sz="4" w:space="0" w:color="auto"/>
              <w:left w:val="nil"/>
              <w:bottom w:val="single" w:sz="4" w:space="0" w:color="auto"/>
              <w:right w:val="single" w:sz="4" w:space="0" w:color="auto"/>
            </w:tcBorders>
            <w:shd w:val="clear" w:color="auto" w:fill="auto"/>
            <w:vAlign w:val="bottom"/>
            <w:hideMark/>
          </w:tcPr>
          <w:p w:rsidR="00E93D6E" w:rsidRPr="001D5D02" w:rsidRDefault="00E93D6E" w:rsidP="00BC5318">
            <w:pPr>
              <w:jc w:val="center"/>
              <w:rPr>
                <w:rFonts w:ascii="Arial" w:hAnsi="Arial" w:cs="Arial"/>
                <w:b/>
                <w:bCs/>
                <w:color w:val="000000"/>
                <w:sz w:val="22"/>
                <w:szCs w:val="22"/>
              </w:rPr>
            </w:pPr>
            <w:r w:rsidRPr="001D5D02">
              <w:rPr>
                <w:rFonts w:ascii="Arial" w:hAnsi="Arial" w:cs="Arial"/>
                <w:b/>
                <w:bCs/>
                <w:color w:val="000000"/>
                <w:sz w:val="22"/>
                <w:szCs w:val="22"/>
              </w:rPr>
              <w:t>VALUE</w:t>
            </w:r>
          </w:p>
        </w:tc>
      </w:tr>
      <w:tr w:rsidR="00E93D6E" w:rsidRPr="001D5D02" w:rsidTr="00BC5318">
        <w:trPr>
          <w:trHeight w:val="20"/>
          <w:tblHeader/>
        </w:trPr>
        <w:tc>
          <w:tcPr>
            <w:tcW w:w="1091" w:type="dxa"/>
            <w:tcBorders>
              <w:top w:val="nil"/>
              <w:left w:val="single" w:sz="4" w:space="0" w:color="auto"/>
              <w:bottom w:val="single" w:sz="4" w:space="0" w:color="auto"/>
              <w:right w:val="single" w:sz="4" w:space="0" w:color="auto"/>
            </w:tcBorders>
            <w:shd w:val="clear" w:color="auto" w:fill="auto"/>
            <w:vAlign w:val="bottom"/>
            <w:hideMark/>
          </w:tcPr>
          <w:p w:rsidR="00E93D6E" w:rsidRPr="001D5D02" w:rsidRDefault="00E93D6E" w:rsidP="00BC5318">
            <w:pPr>
              <w:jc w:val="center"/>
              <w:rPr>
                <w:rFonts w:ascii="Arial" w:hAnsi="Arial" w:cs="Arial"/>
                <w:b/>
                <w:bCs/>
                <w:color w:val="000000"/>
                <w:sz w:val="22"/>
                <w:szCs w:val="22"/>
              </w:rPr>
            </w:pPr>
            <w:r w:rsidRPr="001D5D02">
              <w:rPr>
                <w:rFonts w:ascii="Arial" w:hAnsi="Arial" w:cs="Arial"/>
                <w:b/>
                <w:bCs/>
                <w:color w:val="000000"/>
                <w:sz w:val="22"/>
                <w:szCs w:val="22"/>
              </w:rPr>
              <w:t> </w:t>
            </w:r>
          </w:p>
        </w:tc>
        <w:tc>
          <w:tcPr>
            <w:tcW w:w="3870" w:type="dxa"/>
            <w:tcBorders>
              <w:top w:val="nil"/>
              <w:left w:val="nil"/>
              <w:bottom w:val="single" w:sz="4" w:space="0" w:color="auto"/>
              <w:right w:val="single" w:sz="4" w:space="0" w:color="auto"/>
            </w:tcBorders>
            <w:shd w:val="clear" w:color="auto" w:fill="auto"/>
            <w:vAlign w:val="bottom"/>
            <w:hideMark/>
          </w:tcPr>
          <w:p w:rsidR="00E93D6E" w:rsidRPr="001D5D02" w:rsidRDefault="00E93D6E" w:rsidP="00BC5318">
            <w:pPr>
              <w:jc w:val="center"/>
              <w:rPr>
                <w:rFonts w:ascii="Arial" w:hAnsi="Arial" w:cs="Arial"/>
                <w:b/>
                <w:bCs/>
                <w:color w:val="000000"/>
                <w:sz w:val="22"/>
                <w:szCs w:val="22"/>
              </w:rPr>
            </w:pPr>
            <w:r w:rsidRPr="001D5D02">
              <w:rPr>
                <w:rFonts w:ascii="Arial" w:hAnsi="Arial" w:cs="Arial"/>
                <w:b/>
                <w:bCs/>
                <w:color w:val="000000"/>
                <w:sz w:val="22"/>
                <w:szCs w:val="22"/>
              </w:rPr>
              <w:t> </w:t>
            </w:r>
          </w:p>
        </w:tc>
        <w:tc>
          <w:tcPr>
            <w:tcW w:w="1393" w:type="dxa"/>
            <w:tcBorders>
              <w:top w:val="nil"/>
              <w:left w:val="nil"/>
              <w:bottom w:val="single" w:sz="4" w:space="0" w:color="auto"/>
              <w:right w:val="single" w:sz="4" w:space="0" w:color="auto"/>
            </w:tcBorders>
            <w:shd w:val="clear" w:color="auto" w:fill="auto"/>
            <w:vAlign w:val="bottom"/>
            <w:hideMark/>
          </w:tcPr>
          <w:p w:rsidR="00E93D6E" w:rsidRPr="001D5D02" w:rsidRDefault="00E93D6E" w:rsidP="00BC5318">
            <w:pPr>
              <w:jc w:val="center"/>
              <w:rPr>
                <w:rFonts w:ascii="Arial" w:hAnsi="Arial" w:cs="Arial"/>
                <w:b/>
                <w:bCs/>
                <w:color w:val="000000"/>
                <w:sz w:val="22"/>
                <w:szCs w:val="22"/>
              </w:rPr>
            </w:pPr>
            <w:r w:rsidRPr="001D5D02">
              <w:rPr>
                <w:rFonts w:ascii="Arial" w:hAnsi="Arial" w:cs="Arial"/>
                <w:b/>
                <w:bCs/>
                <w:color w:val="000000"/>
                <w:sz w:val="22"/>
                <w:szCs w:val="22"/>
              </w:rPr>
              <w:t>Basis (per Division)</w:t>
            </w:r>
          </w:p>
        </w:tc>
        <w:tc>
          <w:tcPr>
            <w:tcW w:w="851" w:type="dxa"/>
            <w:tcBorders>
              <w:top w:val="nil"/>
              <w:left w:val="nil"/>
              <w:bottom w:val="single" w:sz="4" w:space="0" w:color="auto"/>
              <w:right w:val="single" w:sz="4" w:space="0" w:color="auto"/>
            </w:tcBorders>
            <w:shd w:val="clear" w:color="auto" w:fill="auto"/>
            <w:vAlign w:val="bottom"/>
            <w:hideMark/>
          </w:tcPr>
          <w:p w:rsidR="00E93D6E" w:rsidRPr="001D5D02" w:rsidRDefault="00E93D6E" w:rsidP="00BC5318">
            <w:pPr>
              <w:jc w:val="center"/>
              <w:rPr>
                <w:rFonts w:ascii="Arial" w:hAnsi="Arial" w:cs="Arial"/>
                <w:b/>
                <w:bCs/>
                <w:color w:val="000000"/>
                <w:sz w:val="22"/>
                <w:szCs w:val="22"/>
              </w:rPr>
            </w:pPr>
            <w:r w:rsidRPr="001D5D02">
              <w:rPr>
                <w:rFonts w:ascii="Arial" w:hAnsi="Arial" w:cs="Arial"/>
                <w:b/>
                <w:bCs/>
                <w:color w:val="000000"/>
                <w:sz w:val="22"/>
                <w:szCs w:val="22"/>
              </w:rPr>
              <w:t>Nos</w:t>
            </w:r>
          </w:p>
        </w:tc>
        <w:tc>
          <w:tcPr>
            <w:tcW w:w="1295" w:type="dxa"/>
            <w:tcBorders>
              <w:top w:val="nil"/>
              <w:left w:val="nil"/>
              <w:bottom w:val="single" w:sz="4" w:space="0" w:color="auto"/>
              <w:right w:val="single" w:sz="4" w:space="0" w:color="auto"/>
            </w:tcBorders>
            <w:shd w:val="clear" w:color="auto" w:fill="auto"/>
            <w:vAlign w:val="bottom"/>
            <w:hideMark/>
          </w:tcPr>
          <w:p w:rsidR="00E93D6E" w:rsidRPr="001D5D02" w:rsidRDefault="00E93D6E" w:rsidP="00BC5318">
            <w:pPr>
              <w:jc w:val="center"/>
              <w:rPr>
                <w:rFonts w:ascii="Arial" w:hAnsi="Arial" w:cs="Arial"/>
                <w:b/>
                <w:bCs/>
                <w:color w:val="000000"/>
                <w:sz w:val="22"/>
                <w:szCs w:val="22"/>
              </w:rPr>
            </w:pPr>
            <w:r w:rsidRPr="001D5D02">
              <w:rPr>
                <w:rFonts w:ascii="Arial" w:hAnsi="Arial" w:cs="Arial"/>
                <w:b/>
                <w:bCs/>
                <w:color w:val="000000"/>
                <w:sz w:val="22"/>
                <w:szCs w:val="22"/>
              </w:rPr>
              <w:t>(Rs.Lacs)</w:t>
            </w:r>
          </w:p>
        </w:tc>
        <w:tc>
          <w:tcPr>
            <w:tcW w:w="1295" w:type="dxa"/>
            <w:tcBorders>
              <w:top w:val="nil"/>
              <w:left w:val="nil"/>
              <w:bottom w:val="single" w:sz="4" w:space="0" w:color="auto"/>
              <w:right w:val="single" w:sz="4" w:space="0" w:color="auto"/>
            </w:tcBorders>
            <w:shd w:val="clear" w:color="auto" w:fill="auto"/>
            <w:vAlign w:val="bottom"/>
            <w:hideMark/>
          </w:tcPr>
          <w:p w:rsidR="00E93D6E" w:rsidRPr="001D5D02" w:rsidRDefault="00E93D6E" w:rsidP="00BC5318">
            <w:pPr>
              <w:jc w:val="center"/>
              <w:rPr>
                <w:rFonts w:ascii="Arial" w:hAnsi="Arial" w:cs="Arial"/>
                <w:b/>
                <w:bCs/>
                <w:color w:val="000000"/>
                <w:sz w:val="22"/>
                <w:szCs w:val="22"/>
              </w:rPr>
            </w:pPr>
            <w:r w:rsidRPr="001D5D02">
              <w:rPr>
                <w:rFonts w:ascii="Arial" w:hAnsi="Arial" w:cs="Arial"/>
                <w:b/>
                <w:bCs/>
                <w:color w:val="000000"/>
                <w:sz w:val="22"/>
                <w:szCs w:val="22"/>
              </w:rPr>
              <w:t>(Rs.Lacs)</w:t>
            </w:r>
          </w:p>
        </w:tc>
      </w:tr>
      <w:tr w:rsidR="00E93D6E" w:rsidRPr="001D5D02" w:rsidTr="00BC5318">
        <w:trPr>
          <w:trHeight w:val="20"/>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1</w:t>
            </w:r>
          </w:p>
        </w:tc>
        <w:tc>
          <w:tcPr>
            <w:tcW w:w="3870"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rPr>
                <w:rFonts w:ascii="Arial" w:hAnsi="Arial" w:cs="Arial"/>
                <w:color w:val="000000"/>
                <w:sz w:val="22"/>
                <w:szCs w:val="22"/>
              </w:rPr>
            </w:pPr>
            <w:r w:rsidRPr="001D5D02">
              <w:rPr>
                <w:rFonts w:ascii="Arial" w:hAnsi="Arial" w:cs="Arial"/>
                <w:color w:val="000000"/>
                <w:sz w:val="22"/>
                <w:szCs w:val="22"/>
              </w:rPr>
              <w:t>Portable DG Set - 5 kva</w:t>
            </w:r>
          </w:p>
        </w:tc>
        <w:tc>
          <w:tcPr>
            <w:tcW w:w="1393"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4</w:t>
            </w:r>
          </w:p>
        </w:tc>
        <w:tc>
          <w:tcPr>
            <w:tcW w:w="851"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72</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1.65</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118.80</w:t>
            </w:r>
          </w:p>
        </w:tc>
      </w:tr>
      <w:tr w:rsidR="00E93D6E" w:rsidRPr="001D5D02" w:rsidTr="00BC5318">
        <w:trPr>
          <w:trHeight w:val="20"/>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2</w:t>
            </w:r>
          </w:p>
        </w:tc>
        <w:tc>
          <w:tcPr>
            <w:tcW w:w="3870"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rPr>
                <w:rFonts w:ascii="Arial" w:hAnsi="Arial" w:cs="Arial"/>
                <w:color w:val="000000"/>
                <w:sz w:val="22"/>
                <w:szCs w:val="22"/>
              </w:rPr>
            </w:pPr>
            <w:r w:rsidRPr="001D5D02">
              <w:rPr>
                <w:rFonts w:ascii="Arial" w:hAnsi="Arial" w:cs="Arial"/>
                <w:color w:val="000000"/>
                <w:sz w:val="22"/>
                <w:szCs w:val="22"/>
              </w:rPr>
              <w:t>Mobile Substations 250 kva</w:t>
            </w:r>
          </w:p>
        </w:tc>
        <w:tc>
          <w:tcPr>
            <w:tcW w:w="1393"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4</w:t>
            </w:r>
          </w:p>
        </w:tc>
        <w:tc>
          <w:tcPr>
            <w:tcW w:w="851"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72</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14.00</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1008.00</w:t>
            </w:r>
          </w:p>
        </w:tc>
      </w:tr>
      <w:tr w:rsidR="00E93D6E" w:rsidRPr="001D5D02" w:rsidTr="00BC5318">
        <w:trPr>
          <w:trHeight w:val="20"/>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3</w:t>
            </w:r>
          </w:p>
        </w:tc>
        <w:tc>
          <w:tcPr>
            <w:tcW w:w="3870" w:type="dxa"/>
            <w:tcBorders>
              <w:top w:val="nil"/>
              <w:left w:val="nil"/>
              <w:bottom w:val="single" w:sz="4" w:space="0" w:color="auto"/>
              <w:right w:val="single" w:sz="4" w:space="0" w:color="auto"/>
            </w:tcBorders>
            <w:shd w:val="clear" w:color="auto" w:fill="auto"/>
            <w:vAlign w:val="center"/>
            <w:hideMark/>
          </w:tcPr>
          <w:p w:rsidR="00E93D6E" w:rsidRPr="001D5D02" w:rsidRDefault="00E93D6E" w:rsidP="00BC5318">
            <w:pPr>
              <w:rPr>
                <w:rFonts w:ascii="Arial" w:hAnsi="Arial" w:cs="Arial"/>
                <w:color w:val="000000"/>
                <w:sz w:val="22"/>
                <w:szCs w:val="22"/>
              </w:rPr>
            </w:pPr>
            <w:r w:rsidRPr="001D5D02">
              <w:rPr>
                <w:rFonts w:ascii="Arial" w:hAnsi="Arial" w:cs="Arial"/>
                <w:color w:val="000000"/>
                <w:sz w:val="22"/>
                <w:szCs w:val="22"/>
              </w:rPr>
              <w:t>Emergency restoration system (ERS) tower- HT line</w:t>
            </w:r>
          </w:p>
        </w:tc>
        <w:tc>
          <w:tcPr>
            <w:tcW w:w="1393"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1</w:t>
            </w:r>
          </w:p>
        </w:tc>
        <w:tc>
          <w:tcPr>
            <w:tcW w:w="851"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18</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85.00</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1530.00</w:t>
            </w:r>
          </w:p>
        </w:tc>
      </w:tr>
      <w:tr w:rsidR="00E93D6E" w:rsidRPr="001D5D02" w:rsidTr="00BC5318">
        <w:trPr>
          <w:trHeight w:val="20"/>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4</w:t>
            </w:r>
          </w:p>
        </w:tc>
        <w:tc>
          <w:tcPr>
            <w:tcW w:w="3870"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rPr>
                <w:rFonts w:ascii="Arial" w:hAnsi="Arial" w:cs="Arial"/>
                <w:color w:val="000000"/>
                <w:sz w:val="22"/>
                <w:szCs w:val="22"/>
              </w:rPr>
            </w:pPr>
            <w:r w:rsidRPr="001D5D02">
              <w:rPr>
                <w:rFonts w:ascii="Arial" w:hAnsi="Arial" w:cs="Arial"/>
                <w:color w:val="000000"/>
                <w:sz w:val="22"/>
                <w:szCs w:val="22"/>
              </w:rPr>
              <w:t>Hydraulic pulling machine</w:t>
            </w:r>
          </w:p>
        </w:tc>
        <w:tc>
          <w:tcPr>
            <w:tcW w:w="1393"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15</w:t>
            </w:r>
          </w:p>
        </w:tc>
        <w:tc>
          <w:tcPr>
            <w:tcW w:w="851"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270</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1.50</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405.00</w:t>
            </w:r>
          </w:p>
        </w:tc>
      </w:tr>
      <w:tr w:rsidR="00E93D6E" w:rsidRPr="001D5D02" w:rsidTr="00BC5318">
        <w:trPr>
          <w:trHeight w:val="20"/>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5</w:t>
            </w:r>
          </w:p>
        </w:tc>
        <w:tc>
          <w:tcPr>
            <w:tcW w:w="3870"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rPr>
                <w:rFonts w:ascii="Arial" w:hAnsi="Arial" w:cs="Arial"/>
                <w:color w:val="000000"/>
                <w:sz w:val="22"/>
                <w:szCs w:val="22"/>
              </w:rPr>
            </w:pPr>
            <w:r w:rsidRPr="001D5D02">
              <w:rPr>
                <w:rFonts w:ascii="Arial" w:hAnsi="Arial" w:cs="Arial"/>
                <w:color w:val="000000"/>
                <w:sz w:val="22"/>
                <w:szCs w:val="22"/>
              </w:rPr>
              <w:t>Hydrolic jags</w:t>
            </w:r>
          </w:p>
        </w:tc>
        <w:tc>
          <w:tcPr>
            <w:tcW w:w="1393"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30</w:t>
            </w:r>
          </w:p>
        </w:tc>
        <w:tc>
          <w:tcPr>
            <w:tcW w:w="851"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540</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0.12</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64.80</w:t>
            </w:r>
          </w:p>
        </w:tc>
      </w:tr>
      <w:tr w:rsidR="00E93D6E" w:rsidRPr="001D5D02" w:rsidTr="00BC5318">
        <w:trPr>
          <w:trHeight w:val="20"/>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6</w:t>
            </w:r>
          </w:p>
        </w:tc>
        <w:tc>
          <w:tcPr>
            <w:tcW w:w="3870"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rPr>
                <w:rFonts w:ascii="Arial" w:hAnsi="Arial" w:cs="Arial"/>
                <w:color w:val="000000"/>
                <w:sz w:val="22"/>
                <w:szCs w:val="22"/>
              </w:rPr>
            </w:pPr>
            <w:r w:rsidRPr="001D5D02">
              <w:rPr>
                <w:rFonts w:ascii="Arial" w:hAnsi="Arial" w:cs="Arial"/>
                <w:color w:val="000000"/>
                <w:sz w:val="22"/>
                <w:szCs w:val="22"/>
              </w:rPr>
              <w:t>Cable Crimping tools</w:t>
            </w:r>
          </w:p>
        </w:tc>
        <w:tc>
          <w:tcPr>
            <w:tcW w:w="1393"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45</w:t>
            </w:r>
          </w:p>
        </w:tc>
        <w:tc>
          <w:tcPr>
            <w:tcW w:w="851"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810</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0.04</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32.40</w:t>
            </w:r>
          </w:p>
        </w:tc>
      </w:tr>
      <w:tr w:rsidR="00E93D6E" w:rsidRPr="001D5D02" w:rsidTr="00BC5318">
        <w:trPr>
          <w:trHeight w:val="20"/>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7</w:t>
            </w:r>
          </w:p>
        </w:tc>
        <w:tc>
          <w:tcPr>
            <w:tcW w:w="3870"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rPr>
                <w:rFonts w:ascii="Arial" w:hAnsi="Arial" w:cs="Arial"/>
                <w:color w:val="000000"/>
                <w:sz w:val="22"/>
                <w:szCs w:val="22"/>
              </w:rPr>
            </w:pPr>
            <w:r w:rsidRPr="001D5D02">
              <w:rPr>
                <w:rFonts w:ascii="Arial" w:hAnsi="Arial" w:cs="Arial"/>
                <w:color w:val="000000"/>
                <w:sz w:val="22"/>
                <w:szCs w:val="22"/>
              </w:rPr>
              <w:t>Gas cutters</w:t>
            </w:r>
          </w:p>
        </w:tc>
        <w:tc>
          <w:tcPr>
            <w:tcW w:w="1393"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5</w:t>
            </w:r>
          </w:p>
        </w:tc>
        <w:tc>
          <w:tcPr>
            <w:tcW w:w="851"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90</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0.10</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9.00</w:t>
            </w:r>
          </w:p>
        </w:tc>
      </w:tr>
      <w:tr w:rsidR="00E93D6E" w:rsidRPr="001D5D02" w:rsidTr="00BC5318">
        <w:trPr>
          <w:trHeight w:val="20"/>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8</w:t>
            </w:r>
          </w:p>
        </w:tc>
        <w:tc>
          <w:tcPr>
            <w:tcW w:w="3870"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rPr>
                <w:rFonts w:ascii="Arial" w:hAnsi="Arial" w:cs="Arial"/>
                <w:color w:val="000000"/>
                <w:sz w:val="22"/>
                <w:szCs w:val="22"/>
              </w:rPr>
            </w:pPr>
            <w:r w:rsidRPr="001D5D02">
              <w:rPr>
                <w:rFonts w:ascii="Arial" w:hAnsi="Arial" w:cs="Arial"/>
                <w:color w:val="000000"/>
                <w:sz w:val="22"/>
                <w:szCs w:val="22"/>
              </w:rPr>
              <w:t>Power cutters</w:t>
            </w:r>
          </w:p>
        </w:tc>
        <w:tc>
          <w:tcPr>
            <w:tcW w:w="1393"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10</w:t>
            </w:r>
          </w:p>
        </w:tc>
        <w:tc>
          <w:tcPr>
            <w:tcW w:w="851"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180</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0.08</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14.40</w:t>
            </w:r>
          </w:p>
        </w:tc>
      </w:tr>
      <w:tr w:rsidR="00E93D6E" w:rsidRPr="001D5D02" w:rsidTr="00BC5318">
        <w:trPr>
          <w:trHeight w:val="20"/>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9</w:t>
            </w:r>
          </w:p>
        </w:tc>
        <w:tc>
          <w:tcPr>
            <w:tcW w:w="3870"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rPr>
                <w:rFonts w:ascii="Arial" w:hAnsi="Arial" w:cs="Arial"/>
                <w:color w:val="000000"/>
                <w:sz w:val="22"/>
                <w:szCs w:val="22"/>
              </w:rPr>
            </w:pPr>
            <w:r w:rsidRPr="001D5D02">
              <w:rPr>
                <w:rFonts w:ascii="Arial" w:hAnsi="Arial" w:cs="Arial"/>
                <w:color w:val="000000"/>
                <w:sz w:val="22"/>
                <w:szCs w:val="22"/>
              </w:rPr>
              <w:t>Trifor (Hock chuck)</w:t>
            </w:r>
          </w:p>
        </w:tc>
        <w:tc>
          <w:tcPr>
            <w:tcW w:w="1393"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15</w:t>
            </w:r>
          </w:p>
        </w:tc>
        <w:tc>
          <w:tcPr>
            <w:tcW w:w="851"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270</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0.21</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56.70</w:t>
            </w:r>
          </w:p>
        </w:tc>
      </w:tr>
      <w:tr w:rsidR="00E93D6E" w:rsidRPr="001D5D02" w:rsidTr="00BC5318">
        <w:trPr>
          <w:trHeight w:val="20"/>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lastRenderedPageBreak/>
              <w:t>10</w:t>
            </w:r>
          </w:p>
        </w:tc>
        <w:tc>
          <w:tcPr>
            <w:tcW w:w="3870"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rPr>
                <w:rFonts w:ascii="Arial" w:hAnsi="Arial" w:cs="Arial"/>
                <w:color w:val="000000"/>
                <w:sz w:val="22"/>
                <w:szCs w:val="22"/>
              </w:rPr>
            </w:pPr>
            <w:r w:rsidRPr="001D5D02">
              <w:rPr>
                <w:rFonts w:ascii="Arial" w:hAnsi="Arial" w:cs="Arial"/>
                <w:color w:val="000000"/>
                <w:sz w:val="22"/>
                <w:szCs w:val="22"/>
              </w:rPr>
              <w:t>Tripoid</w:t>
            </w:r>
          </w:p>
        </w:tc>
        <w:tc>
          <w:tcPr>
            <w:tcW w:w="1393"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15</w:t>
            </w:r>
          </w:p>
        </w:tc>
        <w:tc>
          <w:tcPr>
            <w:tcW w:w="851"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270</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0.30</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81.00</w:t>
            </w:r>
          </w:p>
        </w:tc>
      </w:tr>
      <w:tr w:rsidR="00E93D6E" w:rsidRPr="001D5D02" w:rsidTr="00BC5318">
        <w:trPr>
          <w:trHeight w:val="20"/>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11</w:t>
            </w:r>
          </w:p>
        </w:tc>
        <w:tc>
          <w:tcPr>
            <w:tcW w:w="3870"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rPr>
                <w:rFonts w:ascii="Arial" w:hAnsi="Arial" w:cs="Arial"/>
                <w:color w:val="000000"/>
                <w:sz w:val="22"/>
                <w:szCs w:val="22"/>
              </w:rPr>
            </w:pPr>
            <w:r w:rsidRPr="001D5D02">
              <w:rPr>
                <w:rFonts w:ascii="Arial" w:hAnsi="Arial" w:cs="Arial"/>
                <w:color w:val="000000"/>
                <w:sz w:val="22"/>
                <w:szCs w:val="22"/>
              </w:rPr>
              <w:t>single derricks</w:t>
            </w:r>
          </w:p>
        </w:tc>
        <w:tc>
          <w:tcPr>
            <w:tcW w:w="1393"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15</w:t>
            </w:r>
          </w:p>
        </w:tc>
        <w:tc>
          <w:tcPr>
            <w:tcW w:w="851"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270</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0.10</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27.00</w:t>
            </w:r>
          </w:p>
        </w:tc>
      </w:tr>
      <w:tr w:rsidR="00E93D6E" w:rsidRPr="001D5D02" w:rsidTr="00BC5318">
        <w:trPr>
          <w:trHeight w:val="20"/>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12</w:t>
            </w:r>
          </w:p>
        </w:tc>
        <w:tc>
          <w:tcPr>
            <w:tcW w:w="3870" w:type="dxa"/>
            <w:tcBorders>
              <w:top w:val="nil"/>
              <w:left w:val="nil"/>
              <w:bottom w:val="single" w:sz="4" w:space="0" w:color="auto"/>
              <w:right w:val="single" w:sz="4" w:space="0" w:color="auto"/>
            </w:tcBorders>
            <w:shd w:val="clear" w:color="auto" w:fill="auto"/>
            <w:vAlign w:val="center"/>
            <w:hideMark/>
          </w:tcPr>
          <w:p w:rsidR="00E93D6E" w:rsidRPr="001D5D02" w:rsidRDefault="00E93D6E" w:rsidP="00BC5318">
            <w:pPr>
              <w:rPr>
                <w:rFonts w:ascii="Arial" w:hAnsi="Arial" w:cs="Arial"/>
                <w:color w:val="000000"/>
                <w:sz w:val="22"/>
                <w:szCs w:val="22"/>
              </w:rPr>
            </w:pPr>
            <w:r w:rsidRPr="001D5D02">
              <w:rPr>
                <w:rFonts w:ascii="Arial" w:hAnsi="Arial" w:cs="Arial"/>
                <w:color w:val="000000"/>
                <w:sz w:val="22"/>
                <w:szCs w:val="22"/>
              </w:rPr>
              <w:t>Chain pulley block (5 T Capacity)</w:t>
            </w:r>
          </w:p>
        </w:tc>
        <w:tc>
          <w:tcPr>
            <w:tcW w:w="1393"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30</w:t>
            </w:r>
          </w:p>
        </w:tc>
        <w:tc>
          <w:tcPr>
            <w:tcW w:w="851"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5</w:t>
            </w:r>
            <w:r>
              <w:rPr>
                <w:rFonts w:ascii="Arial" w:hAnsi="Arial" w:cs="Arial"/>
                <w:color w:val="000000"/>
                <w:sz w:val="22"/>
                <w:szCs w:val="22"/>
              </w:rPr>
              <w:t>40</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0.11</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59.40</w:t>
            </w:r>
          </w:p>
        </w:tc>
      </w:tr>
      <w:tr w:rsidR="00E93D6E" w:rsidRPr="001D5D02" w:rsidTr="00BC5318">
        <w:trPr>
          <w:trHeight w:val="20"/>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13</w:t>
            </w:r>
          </w:p>
        </w:tc>
        <w:tc>
          <w:tcPr>
            <w:tcW w:w="3870"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rPr>
                <w:rFonts w:ascii="Arial" w:hAnsi="Arial" w:cs="Arial"/>
                <w:color w:val="000000"/>
                <w:sz w:val="22"/>
                <w:szCs w:val="22"/>
              </w:rPr>
            </w:pPr>
            <w:r w:rsidRPr="001D5D02">
              <w:rPr>
                <w:rFonts w:ascii="Arial" w:hAnsi="Arial" w:cs="Arial"/>
                <w:color w:val="000000"/>
                <w:sz w:val="22"/>
                <w:szCs w:val="22"/>
              </w:rPr>
              <w:t>Lift Pully (2T, 5T)</w:t>
            </w:r>
          </w:p>
        </w:tc>
        <w:tc>
          <w:tcPr>
            <w:tcW w:w="1393"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30</w:t>
            </w:r>
          </w:p>
        </w:tc>
        <w:tc>
          <w:tcPr>
            <w:tcW w:w="851"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540</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0.15</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81.00</w:t>
            </w:r>
          </w:p>
        </w:tc>
      </w:tr>
      <w:tr w:rsidR="00E93D6E" w:rsidRPr="001D5D02" w:rsidTr="00BC5318">
        <w:trPr>
          <w:trHeight w:val="20"/>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14</w:t>
            </w:r>
          </w:p>
        </w:tc>
        <w:tc>
          <w:tcPr>
            <w:tcW w:w="3870"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rPr>
                <w:rFonts w:ascii="Arial" w:hAnsi="Arial" w:cs="Arial"/>
                <w:color w:val="000000"/>
                <w:sz w:val="22"/>
                <w:szCs w:val="22"/>
              </w:rPr>
            </w:pPr>
            <w:r w:rsidRPr="001D5D02">
              <w:rPr>
                <w:rFonts w:ascii="Arial" w:hAnsi="Arial" w:cs="Arial"/>
                <w:color w:val="000000"/>
                <w:sz w:val="22"/>
                <w:szCs w:val="22"/>
              </w:rPr>
              <w:t>Manila / P.P.Rope (kg)</w:t>
            </w:r>
          </w:p>
        </w:tc>
        <w:tc>
          <w:tcPr>
            <w:tcW w:w="1393"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1000</w:t>
            </w:r>
          </w:p>
        </w:tc>
        <w:tc>
          <w:tcPr>
            <w:tcW w:w="851"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18</w:t>
            </w:r>
            <w:r w:rsidRPr="001D5D02">
              <w:rPr>
                <w:rFonts w:ascii="Arial" w:hAnsi="Arial" w:cs="Arial"/>
                <w:color w:val="000000"/>
                <w:sz w:val="22"/>
                <w:szCs w:val="22"/>
              </w:rPr>
              <w:t>000</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0.01</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18</w:t>
            </w:r>
            <w:r w:rsidRPr="001D5D02">
              <w:rPr>
                <w:rFonts w:ascii="Arial" w:hAnsi="Arial" w:cs="Arial"/>
                <w:color w:val="000000"/>
                <w:sz w:val="22"/>
                <w:szCs w:val="22"/>
              </w:rPr>
              <w:t>0.00</w:t>
            </w:r>
          </w:p>
        </w:tc>
      </w:tr>
      <w:tr w:rsidR="00E93D6E" w:rsidRPr="001D5D02" w:rsidTr="00BC5318">
        <w:trPr>
          <w:trHeight w:val="20"/>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15</w:t>
            </w:r>
          </w:p>
        </w:tc>
        <w:tc>
          <w:tcPr>
            <w:tcW w:w="3870"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rPr>
                <w:rFonts w:ascii="Arial" w:hAnsi="Arial" w:cs="Arial"/>
                <w:color w:val="000000"/>
                <w:sz w:val="22"/>
                <w:szCs w:val="22"/>
              </w:rPr>
            </w:pPr>
            <w:r w:rsidRPr="001D5D02">
              <w:rPr>
                <w:rFonts w:ascii="Arial" w:hAnsi="Arial" w:cs="Arial"/>
                <w:color w:val="000000"/>
                <w:sz w:val="22"/>
                <w:szCs w:val="22"/>
              </w:rPr>
              <w:t>Welding Machine</w:t>
            </w:r>
          </w:p>
        </w:tc>
        <w:tc>
          <w:tcPr>
            <w:tcW w:w="1393"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4</w:t>
            </w:r>
          </w:p>
        </w:tc>
        <w:tc>
          <w:tcPr>
            <w:tcW w:w="851"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72</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0.30</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21.6</w:t>
            </w:r>
            <w:r w:rsidRPr="001D5D02">
              <w:rPr>
                <w:rFonts w:ascii="Arial" w:hAnsi="Arial" w:cs="Arial"/>
                <w:color w:val="000000"/>
                <w:sz w:val="22"/>
                <w:szCs w:val="22"/>
              </w:rPr>
              <w:t>0</w:t>
            </w:r>
          </w:p>
        </w:tc>
      </w:tr>
      <w:tr w:rsidR="00E93D6E" w:rsidRPr="001D5D02" w:rsidTr="00BC5318">
        <w:trPr>
          <w:trHeight w:val="20"/>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16</w:t>
            </w:r>
          </w:p>
        </w:tc>
        <w:tc>
          <w:tcPr>
            <w:tcW w:w="3870"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rPr>
                <w:rFonts w:ascii="Arial" w:hAnsi="Arial" w:cs="Arial"/>
                <w:color w:val="000000"/>
                <w:sz w:val="22"/>
                <w:szCs w:val="22"/>
              </w:rPr>
            </w:pPr>
            <w:r w:rsidRPr="001D5D02">
              <w:rPr>
                <w:rFonts w:ascii="Arial" w:hAnsi="Arial" w:cs="Arial"/>
                <w:color w:val="000000"/>
                <w:sz w:val="22"/>
                <w:szCs w:val="22"/>
              </w:rPr>
              <w:t>Drill Machine</w:t>
            </w:r>
          </w:p>
        </w:tc>
        <w:tc>
          <w:tcPr>
            <w:tcW w:w="1393"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4</w:t>
            </w:r>
          </w:p>
        </w:tc>
        <w:tc>
          <w:tcPr>
            <w:tcW w:w="851"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72</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0.35</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25.2</w:t>
            </w:r>
            <w:r w:rsidRPr="001D5D02">
              <w:rPr>
                <w:rFonts w:ascii="Arial" w:hAnsi="Arial" w:cs="Arial"/>
                <w:color w:val="000000"/>
                <w:sz w:val="22"/>
                <w:szCs w:val="22"/>
              </w:rPr>
              <w:t>0</w:t>
            </w:r>
          </w:p>
        </w:tc>
      </w:tr>
      <w:tr w:rsidR="00E93D6E" w:rsidRPr="001D5D02" w:rsidTr="00BC5318">
        <w:trPr>
          <w:trHeight w:val="20"/>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17</w:t>
            </w:r>
          </w:p>
        </w:tc>
        <w:tc>
          <w:tcPr>
            <w:tcW w:w="3870"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rPr>
                <w:rFonts w:ascii="Arial" w:hAnsi="Arial" w:cs="Arial"/>
                <w:color w:val="000000"/>
                <w:sz w:val="22"/>
                <w:szCs w:val="22"/>
              </w:rPr>
            </w:pPr>
            <w:r w:rsidRPr="001D5D02">
              <w:rPr>
                <w:rFonts w:ascii="Arial" w:hAnsi="Arial" w:cs="Arial"/>
                <w:color w:val="000000"/>
                <w:sz w:val="22"/>
                <w:szCs w:val="22"/>
              </w:rPr>
              <w:t>Insulation Megger</w:t>
            </w:r>
          </w:p>
        </w:tc>
        <w:tc>
          <w:tcPr>
            <w:tcW w:w="1393"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30</w:t>
            </w:r>
          </w:p>
        </w:tc>
        <w:tc>
          <w:tcPr>
            <w:tcW w:w="851"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540</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0.04</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21.6</w:t>
            </w:r>
            <w:r w:rsidRPr="001D5D02">
              <w:rPr>
                <w:rFonts w:ascii="Arial" w:hAnsi="Arial" w:cs="Arial"/>
                <w:color w:val="000000"/>
                <w:sz w:val="22"/>
                <w:szCs w:val="22"/>
              </w:rPr>
              <w:t>0</w:t>
            </w:r>
          </w:p>
        </w:tc>
      </w:tr>
      <w:tr w:rsidR="00E93D6E" w:rsidRPr="001D5D02" w:rsidTr="00BC5318">
        <w:trPr>
          <w:trHeight w:val="20"/>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18</w:t>
            </w:r>
          </w:p>
        </w:tc>
        <w:tc>
          <w:tcPr>
            <w:tcW w:w="3870"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rPr>
                <w:rFonts w:ascii="Arial" w:hAnsi="Arial" w:cs="Arial"/>
                <w:color w:val="000000"/>
                <w:sz w:val="22"/>
                <w:szCs w:val="22"/>
              </w:rPr>
            </w:pPr>
            <w:r w:rsidRPr="001D5D02">
              <w:rPr>
                <w:rFonts w:ascii="Arial" w:hAnsi="Arial" w:cs="Arial"/>
                <w:color w:val="000000"/>
                <w:sz w:val="22"/>
                <w:szCs w:val="22"/>
              </w:rPr>
              <w:t xml:space="preserve">Earth tester </w:t>
            </w:r>
          </w:p>
        </w:tc>
        <w:tc>
          <w:tcPr>
            <w:tcW w:w="1393"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30</w:t>
            </w:r>
          </w:p>
        </w:tc>
        <w:tc>
          <w:tcPr>
            <w:tcW w:w="851"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540</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0.05</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27.0</w:t>
            </w:r>
            <w:r w:rsidRPr="001D5D02">
              <w:rPr>
                <w:rFonts w:ascii="Arial" w:hAnsi="Arial" w:cs="Arial"/>
                <w:color w:val="000000"/>
                <w:sz w:val="22"/>
                <w:szCs w:val="22"/>
              </w:rPr>
              <w:t>0</w:t>
            </w:r>
          </w:p>
        </w:tc>
      </w:tr>
      <w:tr w:rsidR="00E93D6E" w:rsidRPr="001D5D02" w:rsidTr="00BC5318">
        <w:trPr>
          <w:trHeight w:val="20"/>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19</w:t>
            </w:r>
          </w:p>
        </w:tc>
        <w:tc>
          <w:tcPr>
            <w:tcW w:w="3870"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rPr>
                <w:rFonts w:ascii="Arial" w:hAnsi="Arial" w:cs="Arial"/>
                <w:color w:val="000000"/>
                <w:sz w:val="22"/>
                <w:szCs w:val="22"/>
              </w:rPr>
            </w:pPr>
            <w:r w:rsidRPr="001D5D02">
              <w:rPr>
                <w:rFonts w:ascii="Arial" w:hAnsi="Arial" w:cs="Arial"/>
                <w:color w:val="000000"/>
                <w:sz w:val="22"/>
                <w:szCs w:val="22"/>
              </w:rPr>
              <w:t>Tounge Tester</w:t>
            </w:r>
          </w:p>
        </w:tc>
        <w:tc>
          <w:tcPr>
            <w:tcW w:w="1393"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45</w:t>
            </w:r>
          </w:p>
        </w:tc>
        <w:tc>
          <w:tcPr>
            <w:tcW w:w="851"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810</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0.03</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24.30</w:t>
            </w:r>
          </w:p>
        </w:tc>
      </w:tr>
      <w:tr w:rsidR="00E93D6E" w:rsidRPr="001D5D02" w:rsidTr="00BC5318">
        <w:trPr>
          <w:trHeight w:val="20"/>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20</w:t>
            </w:r>
          </w:p>
        </w:tc>
        <w:tc>
          <w:tcPr>
            <w:tcW w:w="3870"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rPr>
                <w:rFonts w:ascii="Arial" w:hAnsi="Arial" w:cs="Arial"/>
                <w:color w:val="000000"/>
                <w:sz w:val="22"/>
                <w:szCs w:val="22"/>
              </w:rPr>
            </w:pPr>
            <w:r w:rsidRPr="001D5D02">
              <w:rPr>
                <w:rFonts w:ascii="Arial" w:hAnsi="Arial" w:cs="Arial"/>
                <w:color w:val="000000"/>
                <w:sz w:val="22"/>
                <w:szCs w:val="22"/>
              </w:rPr>
              <w:t xml:space="preserve"> spanner sets</w:t>
            </w:r>
          </w:p>
        </w:tc>
        <w:tc>
          <w:tcPr>
            <w:tcW w:w="1393"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100</w:t>
            </w:r>
          </w:p>
        </w:tc>
        <w:tc>
          <w:tcPr>
            <w:tcW w:w="851"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18</w:t>
            </w:r>
            <w:r w:rsidRPr="001D5D02">
              <w:rPr>
                <w:rFonts w:ascii="Arial" w:hAnsi="Arial" w:cs="Arial"/>
                <w:color w:val="000000"/>
                <w:sz w:val="22"/>
                <w:szCs w:val="22"/>
              </w:rPr>
              <w:t>00</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0.07</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Pr>
                <w:rFonts w:ascii="Arial" w:hAnsi="Arial" w:cs="Arial"/>
                <w:color w:val="000000"/>
                <w:sz w:val="22"/>
                <w:szCs w:val="22"/>
              </w:rPr>
              <w:t>126</w:t>
            </w:r>
            <w:r w:rsidRPr="001D5D02">
              <w:rPr>
                <w:rFonts w:ascii="Arial" w:hAnsi="Arial" w:cs="Arial"/>
                <w:color w:val="000000"/>
                <w:sz w:val="22"/>
                <w:szCs w:val="22"/>
              </w:rPr>
              <w:t>.00</w:t>
            </w:r>
          </w:p>
        </w:tc>
      </w:tr>
      <w:tr w:rsidR="00E93D6E" w:rsidRPr="001D5D02" w:rsidTr="00BC5318">
        <w:trPr>
          <w:trHeight w:val="132"/>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21</w:t>
            </w:r>
          </w:p>
        </w:tc>
        <w:tc>
          <w:tcPr>
            <w:tcW w:w="3870"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rPr>
                <w:rFonts w:ascii="Arial" w:hAnsi="Arial" w:cs="Arial"/>
                <w:color w:val="000000"/>
                <w:sz w:val="22"/>
                <w:szCs w:val="22"/>
              </w:rPr>
            </w:pPr>
            <w:r w:rsidRPr="001D5D02">
              <w:rPr>
                <w:rFonts w:ascii="Arial" w:hAnsi="Arial" w:cs="Arial"/>
                <w:color w:val="000000"/>
                <w:sz w:val="22"/>
                <w:szCs w:val="22"/>
              </w:rPr>
              <w:t>Pole mounting Tractors</w:t>
            </w:r>
          </w:p>
        </w:tc>
        <w:tc>
          <w:tcPr>
            <w:tcW w:w="1393" w:type="dxa"/>
            <w:tcBorders>
              <w:top w:val="nil"/>
              <w:left w:val="nil"/>
              <w:bottom w:val="single" w:sz="4" w:space="0" w:color="auto"/>
              <w:right w:val="single" w:sz="4" w:space="0" w:color="auto"/>
            </w:tcBorders>
            <w:shd w:val="clear" w:color="000000" w:fill="FFFFFF"/>
            <w:noWrap/>
            <w:vAlign w:val="bottom"/>
            <w:hideMark/>
          </w:tcPr>
          <w:p w:rsidR="00E93D6E" w:rsidRPr="001D5D02" w:rsidRDefault="00E93D6E" w:rsidP="00BC5318">
            <w:pPr>
              <w:rPr>
                <w:rFonts w:ascii="Arial" w:hAnsi="Arial" w:cs="Arial"/>
                <w:color w:val="000000"/>
                <w:sz w:val="22"/>
                <w:szCs w:val="22"/>
              </w:rPr>
            </w:pPr>
            <w:r w:rsidRPr="001D5D02">
              <w:rPr>
                <w:rFonts w:ascii="Arial" w:hAnsi="Arial" w:cs="Arial"/>
                <w:color w:val="000000"/>
                <w:sz w:val="22"/>
                <w:szCs w:val="22"/>
              </w:rPr>
              <w:t>6 per Discoms</w:t>
            </w:r>
          </w:p>
        </w:tc>
        <w:tc>
          <w:tcPr>
            <w:tcW w:w="851"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6</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12.00</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color w:val="000000"/>
                <w:sz w:val="22"/>
                <w:szCs w:val="22"/>
              </w:rPr>
            </w:pPr>
            <w:r w:rsidRPr="001D5D02">
              <w:rPr>
                <w:rFonts w:ascii="Arial" w:hAnsi="Arial" w:cs="Arial"/>
                <w:color w:val="000000"/>
                <w:sz w:val="22"/>
                <w:szCs w:val="22"/>
              </w:rPr>
              <w:t>72.00</w:t>
            </w:r>
          </w:p>
        </w:tc>
      </w:tr>
      <w:tr w:rsidR="00E93D6E" w:rsidRPr="001D5D02" w:rsidTr="00BC5318">
        <w:trPr>
          <w:trHeight w:val="57"/>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b/>
                <w:bCs/>
                <w:color w:val="000000"/>
                <w:sz w:val="22"/>
                <w:szCs w:val="22"/>
              </w:rPr>
            </w:pPr>
            <w:r w:rsidRPr="001D5D02">
              <w:rPr>
                <w:rFonts w:ascii="Arial" w:hAnsi="Arial" w:cs="Arial"/>
                <w:b/>
                <w:bCs/>
                <w:color w:val="000000"/>
                <w:sz w:val="22"/>
                <w:szCs w:val="22"/>
              </w:rPr>
              <w:t> </w:t>
            </w:r>
          </w:p>
        </w:tc>
        <w:tc>
          <w:tcPr>
            <w:tcW w:w="3870"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rPr>
                <w:rFonts w:ascii="Arial" w:hAnsi="Arial" w:cs="Arial"/>
                <w:b/>
                <w:bCs/>
                <w:color w:val="000000"/>
                <w:sz w:val="22"/>
                <w:szCs w:val="22"/>
              </w:rPr>
            </w:pPr>
            <w:r w:rsidRPr="001D5D02">
              <w:rPr>
                <w:rFonts w:ascii="Arial" w:hAnsi="Arial" w:cs="Arial"/>
                <w:b/>
                <w:bCs/>
                <w:color w:val="000000"/>
                <w:sz w:val="22"/>
                <w:szCs w:val="22"/>
              </w:rPr>
              <w:t>TOTAL</w:t>
            </w:r>
          </w:p>
        </w:tc>
        <w:tc>
          <w:tcPr>
            <w:tcW w:w="1393"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rPr>
                <w:rFonts w:ascii="Arial" w:hAnsi="Arial" w:cs="Arial"/>
                <w:b/>
                <w:bCs/>
                <w:color w:val="000000"/>
                <w:sz w:val="22"/>
                <w:szCs w:val="22"/>
              </w:rPr>
            </w:pPr>
            <w:r w:rsidRPr="001D5D02">
              <w:rPr>
                <w:rFonts w:ascii="Arial" w:hAnsi="Arial" w:cs="Arial"/>
                <w:b/>
                <w:bCs/>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rPr>
                <w:rFonts w:ascii="Arial" w:hAnsi="Arial" w:cs="Arial"/>
                <w:b/>
                <w:bCs/>
                <w:color w:val="000000"/>
                <w:sz w:val="22"/>
                <w:szCs w:val="22"/>
              </w:rPr>
            </w:pPr>
            <w:r w:rsidRPr="001D5D02">
              <w:rPr>
                <w:rFonts w:ascii="Arial" w:hAnsi="Arial" w:cs="Arial"/>
                <w:b/>
                <w:bCs/>
                <w:color w:val="000000"/>
                <w:sz w:val="22"/>
                <w:szCs w:val="22"/>
              </w:rPr>
              <w:t> </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rPr>
                <w:rFonts w:ascii="Arial" w:hAnsi="Arial" w:cs="Arial"/>
                <w:b/>
                <w:bCs/>
                <w:color w:val="000000"/>
                <w:sz w:val="22"/>
                <w:szCs w:val="22"/>
              </w:rPr>
            </w:pPr>
            <w:r w:rsidRPr="001D5D02">
              <w:rPr>
                <w:rFonts w:ascii="Arial" w:hAnsi="Arial" w:cs="Arial"/>
                <w:b/>
                <w:bCs/>
                <w:color w:val="000000"/>
                <w:sz w:val="22"/>
                <w:szCs w:val="22"/>
              </w:rPr>
              <w:t> </w:t>
            </w:r>
          </w:p>
        </w:tc>
        <w:tc>
          <w:tcPr>
            <w:tcW w:w="1295" w:type="dxa"/>
            <w:tcBorders>
              <w:top w:val="nil"/>
              <w:left w:val="nil"/>
              <w:bottom w:val="single" w:sz="4" w:space="0" w:color="auto"/>
              <w:right w:val="single" w:sz="4" w:space="0" w:color="auto"/>
            </w:tcBorders>
            <w:shd w:val="clear" w:color="auto" w:fill="auto"/>
            <w:noWrap/>
            <w:vAlign w:val="bottom"/>
            <w:hideMark/>
          </w:tcPr>
          <w:p w:rsidR="00E93D6E" w:rsidRPr="001D5D02" w:rsidRDefault="00E93D6E" w:rsidP="00BC5318">
            <w:pPr>
              <w:jc w:val="center"/>
              <w:rPr>
                <w:rFonts w:ascii="Arial" w:hAnsi="Arial" w:cs="Arial"/>
                <w:b/>
                <w:bCs/>
                <w:color w:val="000000"/>
                <w:sz w:val="22"/>
                <w:szCs w:val="22"/>
              </w:rPr>
            </w:pPr>
            <w:r>
              <w:rPr>
                <w:rFonts w:ascii="Arial" w:hAnsi="Arial" w:cs="Arial"/>
                <w:b/>
                <w:bCs/>
                <w:color w:val="000000"/>
                <w:sz w:val="22"/>
                <w:szCs w:val="22"/>
              </w:rPr>
              <w:t>3985.20</w:t>
            </w:r>
          </w:p>
        </w:tc>
      </w:tr>
    </w:tbl>
    <w:p w:rsidR="00BE091A" w:rsidRPr="00BF0E9D" w:rsidRDefault="00BE091A" w:rsidP="00CF66A5">
      <w:pPr>
        <w:pStyle w:val="Heading1"/>
        <w:numPr>
          <w:ilvl w:val="1"/>
          <w:numId w:val="49"/>
        </w:numPr>
        <w:spacing w:line="360" w:lineRule="auto"/>
        <w:jc w:val="both"/>
        <w:rPr>
          <w:rFonts w:ascii="Cambria" w:hAnsi="Cambria"/>
          <w:sz w:val="24"/>
          <w:szCs w:val="24"/>
        </w:rPr>
      </w:pPr>
      <w:bookmarkStart w:id="106" w:name="_Toc404940203"/>
      <w:r w:rsidRPr="00BF0E9D">
        <w:rPr>
          <w:rFonts w:ascii="Cambria" w:hAnsi="Cambria"/>
          <w:sz w:val="24"/>
          <w:szCs w:val="24"/>
        </w:rPr>
        <w:t>Difficulties in Carrying out Energy Audit work without Fund:</w:t>
      </w:r>
      <w:bookmarkEnd w:id="106"/>
    </w:p>
    <w:p w:rsidR="009844C0" w:rsidRPr="00E93D6E" w:rsidRDefault="009844C0" w:rsidP="009844C0">
      <w:pPr>
        <w:spacing w:line="360" w:lineRule="auto"/>
        <w:ind w:left="360"/>
        <w:jc w:val="both"/>
        <w:rPr>
          <w:rFonts w:ascii="Arial" w:hAnsi="Arial" w:cs="Arial"/>
          <w:sz w:val="22"/>
          <w:szCs w:val="22"/>
        </w:rPr>
      </w:pPr>
      <w:r w:rsidRPr="00E93D6E">
        <w:rPr>
          <w:rFonts w:ascii="Arial" w:hAnsi="Arial" w:cs="Arial"/>
          <w:sz w:val="22"/>
          <w:szCs w:val="22"/>
        </w:rPr>
        <w:t xml:space="preserve">Regarding energy audit it is to submit that as on September-2014 energy audit has been carried out in 9 no of 33kv feeders covering all consumers feed from those feeders to ascertain AT&amp;C loss feeders. Activity such as binder wise consumer tagging those feeders, analysis of energy flow to those feeders, energy billed to the consumers and revenue realised have been carried out. Out of 499nos of 11KV feeders we have under taken energy audit of 46no of 11KV feeders since April-2013. Energy audit of additional 26nos 11KV Feeders from period April-14 to Sept-14 are to be submitted. Due to constraints of fund we will complete energy audit of at least 45nos 11KV Feeders and 2no of 33KV feeder by the end of Sept-2015.Energy audit of balance 11KV feeders will be taken up in phase wise in FY 15-16 prioritising on loss making feeders. </w:t>
      </w:r>
    </w:p>
    <w:p w:rsidR="00EF3997" w:rsidRDefault="00EF3997" w:rsidP="00CF66A5">
      <w:pPr>
        <w:pStyle w:val="Heading1"/>
        <w:numPr>
          <w:ilvl w:val="1"/>
          <w:numId w:val="49"/>
        </w:numPr>
        <w:spacing w:line="360" w:lineRule="auto"/>
        <w:jc w:val="both"/>
        <w:rPr>
          <w:rFonts w:ascii="Cambria" w:hAnsi="Cambria"/>
          <w:sz w:val="24"/>
          <w:szCs w:val="24"/>
        </w:rPr>
      </w:pPr>
      <w:bookmarkStart w:id="107" w:name="_Toc404940204"/>
      <w:r w:rsidRPr="00913159">
        <w:rPr>
          <w:rFonts w:ascii="Cambria" w:hAnsi="Cambria"/>
          <w:sz w:val="24"/>
          <w:szCs w:val="24"/>
        </w:rPr>
        <w:t>Non-Release of Assets by GRIDCO:</w:t>
      </w:r>
      <w:bookmarkEnd w:id="107"/>
    </w:p>
    <w:p w:rsidR="00415942" w:rsidRPr="00E93D6E" w:rsidRDefault="00415942" w:rsidP="00415942">
      <w:pPr>
        <w:rPr>
          <w:rFonts w:ascii="Arial" w:hAnsi="Arial" w:cs="Arial"/>
          <w:b/>
          <w:sz w:val="22"/>
          <w:szCs w:val="22"/>
        </w:rPr>
      </w:pPr>
      <w:r w:rsidRPr="00E93D6E">
        <w:rPr>
          <w:rFonts w:ascii="Arial" w:hAnsi="Arial" w:cs="Arial"/>
          <w:b/>
          <w:sz w:val="22"/>
          <w:szCs w:val="22"/>
        </w:rPr>
        <w:t xml:space="preserve"> Counterpart Funding from REC for Capex</w:t>
      </w:r>
    </w:p>
    <w:p w:rsidR="00415942" w:rsidRPr="00E93D6E" w:rsidRDefault="00415942" w:rsidP="00415942">
      <w:pPr>
        <w:spacing w:line="360" w:lineRule="auto"/>
        <w:jc w:val="both"/>
        <w:rPr>
          <w:rFonts w:ascii="Arial" w:hAnsi="Arial" w:cs="Arial"/>
          <w:sz w:val="22"/>
          <w:szCs w:val="22"/>
        </w:rPr>
      </w:pPr>
      <w:r w:rsidRPr="00E93D6E">
        <w:rPr>
          <w:rFonts w:ascii="Arial" w:hAnsi="Arial" w:cs="Arial"/>
          <w:sz w:val="22"/>
          <w:szCs w:val="22"/>
        </w:rPr>
        <w:t>In response to the term loan proposal of DISCOMs, REC had issued In-principle Sanction of total counterpart requirement under GoO CAPEX Scheme of Rs. 732 crore vide their Letter dated 18.12.2013. Subsequently, after doing the entity appraisal of DISCOMs, REC has issued detailed Sanction Letter dated 31.03.2014 towards Counterpart requirement for FY 2013-14 under CAPEX Scheme for Procurement &amp; Installation of Static Energy Meters of Rs. 1749.71 lakhs, Rs. 1625.07 lakhs &amp; Rs. 1708.76 lakhs to NESCO, WESCO &amp; SOUTHCO respectively. The broad Terms &amp; Conditions of the sanction are as under;</w:t>
      </w:r>
    </w:p>
    <w:p w:rsidR="00415942" w:rsidRPr="00E93D6E" w:rsidRDefault="00415942" w:rsidP="00415942">
      <w:pPr>
        <w:spacing w:line="360" w:lineRule="auto"/>
        <w:jc w:val="both"/>
        <w:rPr>
          <w:rFonts w:ascii="Arial" w:hAnsi="Arial" w:cs="Arial"/>
          <w:color w:val="222222"/>
          <w:sz w:val="22"/>
          <w:szCs w:val="22"/>
        </w:rPr>
      </w:pPr>
      <w:r w:rsidRPr="00E93D6E">
        <w:rPr>
          <w:rFonts w:ascii="Arial" w:hAnsi="Arial" w:cs="Arial"/>
          <w:color w:val="222222"/>
          <w:sz w:val="22"/>
          <w:szCs w:val="22"/>
        </w:rPr>
        <w:t xml:space="preserve">1   </w:t>
      </w:r>
      <w:r w:rsidRPr="00E93D6E">
        <w:rPr>
          <w:rFonts w:ascii="Arial" w:hAnsi="Arial" w:cs="Arial"/>
          <w:b/>
          <w:color w:val="222222"/>
          <w:sz w:val="22"/>
          <w:szCs w:val="22"/>
        </w:rPr>
        <w:t>Validity:</w:t>
      </w:r>
      <w:r w:rsidRPr="00E93D6E">
        <w:rPr>
          <w:rFonts w:ascii="Arial" w:hAnsi="Arial" w:cs="Arial"/>
          <w:color w:val="222222"/>
          <w:sz w:val="22"/>
          <w:szCs w:val="22"/>
        </w:rPr>
        <w:t xml:space="preserve">  The sanction shall be valid for six months for the date of issue of sanction letter.</w:t>
      </w:r>
      <w:r w:rsidRPr="00E93D6E">
        <w:rPr>
          <w:rStyle w:val="apple-converted-space"/>
          <w:rFonts w:ascii="Arial" w:hAnsi="Arial" w:cs="Arial"/>
          <w:color w:val="222222"/>
          <w:sz w:val="22"/>
          <w:szCs w:val="22"/>
        </w:rPr>
        <w:t> </w:t>
      </w:r>
      <w:r w:rsidRPr="00E93D6E">
        <w:rPr>
          <w:rFonts w:ascii="Arial" w:hAnsi="Arial" w:cs="Arial"/>
          <w:color w:val="222222"/>
          <w:sz w:val="22"/>
          <w:szCs w:val="22"/>
        </w:rPr>
        <w:t>Acceptance of terms and conditions of sanction within a period of thirty days from the date of receipt of this letter along with the balance 50% processing fees.</w:t>
      </w:r>
    </w:p>
    <w:p w:rsidR="00415942" w:rsidRPr="00E93D6E" w:rsidRDefault="00415942" w:rsidP="00415942">
      <w:pPr>
        <w:shd w:val="clear" w:color="auto" w:fill="FFFFFF"/>
        <w:spacing w:line="288" w:lineRule="atLeast"/>
        <w:jc w:val="both"/>
        <w:rPr>
          <w:rFonts w:ascii="Arial" w:hAnsi="Arial" w:cs="Arial"/>
          <w:color w:val="222222"/>
          <w:sz w:val="22"/>
          <w:szCs w:val="22"/>
        </w:rPr>
      </w:pPr>
      <w:r w:rsidRPr="00E93D6E">
        <w:rPr>
          <w:rFonts w:ascii="Arial" w:hAnsi="Arial" w:cs="Arial"/>
          <w:color w:val="222222"/>
          <w:sz w:val="22"/>
          <w:szCs w:val="22"/>
        </w:rPr>
        <w:lastRenderedPageBreak/>
        <w:t>2. </w:t>
      </w:r>
      <w:r w:rsidRPr="00E93D6E">
        <w:rPr>
          <w:rStyle w:val="apple-converted-space"/>
          <w:rFonts w:ascii="Arial" w:hAnsi="Arial" w:cs="Arial"/>
          <w:color w:val="222222"/>
          <w:sz w:val="22"/>
          <w:szCs w:val="22"/>
        </w:rPr>
        <w:t> </w:t>
      </w:r>
      <w:r w:rsidRPr="00E93D6E">
        <w:rPr>
          <w:rFonts w:ascii="Arial" w:hAnsi="Arial" w:cs="Arial"/>
          <w:b/>
          <w:bCs/>
          <w:color w:val="222222"/>
          <w:sz w:val="22"/>
          <w:szCs w:val="22"/>
        </w:rPr>
        <w:t>Pre- Commitment Condition:</w:t>
      </w:r>
    </w:p>
    <w:p w:rsidR="00415942" w:rsidRPr="00E93D6E" w:rsidRDefault="00415942" w:rsidP="00415942">
      <w:pPr>
        <w:shd w:val="clear" w:color="auto" w:fill="FFFFFF"/>
        <w:spacing w:line="360" w:lineRule="auto"/>
        <w:jc w:val="both"/>
        <w:rPr>
          <w:rFonts w:ascii="Arial" w:hAnsi="Arial" w:cs="Arial"/>
          <w:color w:val="222222"/>
          <w:sz w:val="22"/>
          <w:szCs w:val="22"/>
        </w:rPr>
      </w:pPr>
      <w:r w:rsidRPr="00E93D6E">
        <w:rPr>
          <w:rFonts w:ascii="Arial" w:hAnsi="Arial" w:cs="Arial"/>
          <w:color w:val="222222"/>
          <w:sz w:val="22"/>
          <w:szCs w:val="22"/>
        </w:rPr>
        <w:t>   The assets created under the project, shall remain hypothecated to REC as per terms of agreement.</w:t>
      </w:r>
    </w:p>
    <w:p w:rsidR="00415942" w:rsidRPr="00E93D6E" w:rsidRDefault="00415942" w:rsidP="00415942">
      <w:pPr>
        <w:shd w:val="clear" w:color="auto" w:fill="FFFFFF"/>
        <w:spacing w:line="360" w:lineRule="auto"/>
        <w:jc w:val="both"/>
        <w:rPr>
          <w:rFonts w:ascii="Arial" w:hAnsi="Arial" w:cs="Arial"/>
          <w:color w:val="222222"/>
          <w:sz w:val="22"/>
          <w:szCs w:val="22"/>
        </w:rPr>
      </w:pPr>
      <w:r w:rsidRPr="00E93D6E">
        <w:rPr>
          <w:rFonts w:ascii="Arial" w:hAnsi="Arial" w:cs="Arial"/>
          <w:color w:val="222222"/>
          <w:sz w:val="22"/>
          <w:szCs w:val="22"/>
        </w:rPr>
        <w:t xml:space="preserve">  The Borrower shall raise and proportionately invest equity portion (where applicable) along with REC loan &amp; that shall not utilize it for repayment / settlement of outstanding liabilities. </w:t>
      </w:r>
    </w:p>
    <w:p w:rsidR="00415942" w:rsidRPr="00E93D6E" w:rsidRDefault="00415942" w:rsidP="00415942">
      <w:pPr>
        <w:shd w:val="clear" w:color="auto" w:fill="FFFFFF"/>
        <w:spacing w:line="360" w:lineRule="auto"/>
        <w:jc w:val="both"/>
        <w:rPr>
          <w:rFonts w:ascii="Arial" w:hAnsi="Arial" w:cs="Arial"/>
          <w:b/>
          <w:color w:val="222222"/>
          <w:sz w:val="22"/>
          <w:szCs w:val="22"/>
          <w:u w:val="single"/>
        </w:rPr>
      </w:pPr>
      <w:r w:rsidRPr="00E93D6E">
        <w:rPr>
          <w:rFonts w:ascii="Arial" w:hAnsi="Arial" w:cs="Arial"/>
          <w:color w:val="222222"/>
          <w:sz w:val="22"/>
          <w:szCs w:val="22"/>
        </w:rPr>
        <w:t>3</w:t>
      </w:r>
      <w:r w:rsidRPr="00E93D6E">
        <w:rPr>
          <w:rFonts w:ascii="Arial" w:hAnsi="Arial" w:cs="Arial"/>
          <w:color w:val="222222"/>
          <w:sz w:val="22"/>
          <w:szCs w:val="22"/>
          <w:u w:val="single"/>
        </w:rPr>
        <w:t>.</w:t>
      </w:r>
      <w:r w:rsidRPr="00E93D6E">
        <w:rPr>
          <w:rStyle w:val="apple-converted-space"/>
          <w:rFonts w:ascii="Arial" w:hAnsi="Arial" w:cs="Arial"/>
          <w:color w:val="222222"/>
          <w:sz w:val="22"/>
          <w:szCs w:val="22"/>
          <w:u w:val="single"/>
        </w:rPr>
        <w:t> </w:t>
      </w:r>
      <w:r w:rsidRPr="00E93D6E">
        <w:rPr>
          <w:rFonts w:ascii="Arial" w:hAnsi="Arial" w:cs="Arial"/>
          <w:b/>
          <w:color w:val="222222"/>
          <w:sz w:val="22"/>
          <w:szCs w:val="22"/>
          <w:u w:val="single"/>
        </w:rPr>
        <w:t>Pre-Disbursement &amp; Disbursement conditions</w:t>
      </w:r>
    </w:p>
    <w:p w:rsidR="00415942" w:rsidRPr="00E93D6E" w:rsidRDefault="00415942" w:rsidP="00415942">
      <w:pPr>
        <w:shd w:val="clear" w:color="auto" w:fill="FFFFFF"/>
        <w:spacing w:line="360" w:lineRule="auto"/>
        <w:jc w:val="both"/>
        <w:rPr>
          <w:rFonts w:ascii="Arial" w:hAnsi="Arial" w:cs="Arial"/>
          <w:color w:val="222222"/>
          <w:sz w:val="22"/>
          <w:szCs w:val="22"/>
        </w:rPr>
      </w:pPr>
      <w:r w:rsidRPr="00E93D6E">
        <w:rPr>
          <w:rFonts w:ascii="Arial" w:hAnsi="Arial" w:cs="Arial"/>
          <w:color w:val="222222"/>
          <w:sz w:val="22"/>
          <w:szCs w:val="22"/>
        </w:rPr>
        <w:t>  </w:t>
      </w:r>
      <w:r w:rsidRPr="00E93D6E">
        <w:rPr>
          <w:rStyle w:val="apple-converted-space"/>
          <w:rFonts w:ascii="Arial" w:hAnsi="Arial" w:cs="Arial"/>
          <w:color w:val="222222"/>
          <w:sz w:val="22"/>
          <w:szCs w:val="22"/>
        </w:rPr>
        <w:t> </w:t>
      </w:r>
      <w:r w:rsidRPr="00E93D6E">
        <w:rPr>
          <w:rFonts w:ascii="Arial" w:hAnsi="Arial" w:cs="Arial"/>
          <w:color w:val="222222"/>
          <w:sz w:val="22"/>
          <w:szCs w:val="22"/>
        </w:rPr>
        <w:t>Creation of security / escrow in the Misc. income.</w:t>
      </w:r>
    </w:p>
    <w:p w:rsidR="00415942" w:rsidRPr="00E93D6E" w:rsidRDefault="00415942" w:rsidP="00415942">
      <w:pPr>
        <w:shd w:val="clear" w:color="auto" w:fill="FFFFFF"/>
        <w:spacing w:line="360" w:lineRule="auto"/>
        <w:jc w:val="both"/>
        <w:rPr>
          <w:rFonts w:ascii="Arial" w:hAnsi="Arial" w:cs="Arial"/>
          <w:color w:val="222222"/>
          <w:sz w:val="22"/>
          <w:szCs w:val="22"/>
        </w:rPr>
      </w:pPr>
      <w:r w:rsidRPr="00E93D6E">
        <w:rPr>
          <w:rFonts w:ascii="Arial" w:hAnsi="Arial" w:cs="Arial"/>
          <w:color w:val="222222"/>
          <w:sz w:val="22"/>
          <w:szCs w:val="22"/>
        </w:rPr>
        <w:t>   </w:t>
      </w:r>
      <w:r w:rsidRPr="00E93D6E">
        <w:rPr>
          <w:rFonts w:ascii="Arial" w:hAnsi="Arial" w:cs="Arial"/>
          <w:color w:val="222222"/>
          <w:sz w:val="22"/>
          <w:szCs w:val="22"/>
          <w:u w:val="single"/>
        </w:rPr>
        <w:t>The utility shall provide comfort letter from Govt. of Odisha / GRIDCO certifying that in case the existing license is withdrawn, the debt will be taken over by the new licensee.</w:t>
      </w:r>
    </w:p>
    <w:p w:rsidR="00415942" w:rsidRPr="00E93D6E" w:rsidRDefault="00415942" w:rsidP="00415942">
      <w:pPr>
        <w:shd w:val="clear" w:color="auto" w:fill="FFFFFF"/>
        <w:spacing w:line="360" w:lineRule="auto"/>
        <w:jc w:val="both"/>
        <w:rPr>
          <w:rFonts w:ascii="Arial" w:hAnsi="Arial" w:cs="Arial"/>
          <w:color w:val="222222"/>
          <w:sz w:val="22"/>
          <w:szCs w:val="22"/>
        </w:rPr>
      </w:pPr>
      <w:r w:rsidRPr="00E93D6E">
        <w:rPr>
          <w:rFonts w:ascii="Arial" w:hAnsi="Arial" w:cs="Arial"/>
          <w:color w:val="222222"/>
          <w:sz w:val="22"/>
          <w:szCs w:val="22"/>
        </w:rPr>
        <w:t>4.  </w:t>
      </w:r>
      <w:r w:rsidRPr="00E93D6E">
        <w:rPr>
          <w:rFonts w:ascii="Arial" w:hAnsi="Arial" w:cs="Arial"/>
          <w:b/>
          <w:color w:val="222222"/>
          <w:sz w:val="22"/>
          <w:szCs w:val="22"/>
        </w:rPr>
        <w:t>Interest Rates &amp; Interest reset period:</w:t>
      </w:r>
      <w:r w:rsidRPr="00E93D6E">
        <w:rPr>
          <w:rFonts w:ascii="Arial" w:hAnsi="Arial" w:cs="Arial"/>
          <w:color w:val="222222"/>
          <w:sz w:val="22"/>
          <w:szCs w:val="22"/>
        </w:rPr>
        <w:t xml:space="preserve"> Present Interest rate is 13.50% p.a. as per the Entity Appraisal of DISCOMs carried out by REC with a reset clause at the end of 3years.</w:t>
      </w:r>
    </w:p>
    <w:p w:rsidR="00415942" w:rsidRPr="00E93D6E" w:rsidRDefault="00415942" w:rsidP="00415942">
      <w:pPr>
        <w:shd w:val="clear" w:color="auto" w:fill="FFFFFF"/>
        <w:spacing w:line="360" w:lineRule="auto"/>
        <w:jc w:val="both"/>
        <w:rPr>
          <w:rFonts w:ascii="Arial" w:hAnsi="Arial" w:cs="Arial"/>
          <w:color w:val="222222"/>
          <w:sz w:val="22"/>
          <w:szCs w:val="22"/>
        </w:rPr>
      </w:pPr>
      <w:r w:rsidRPr="00E93D6E">
        <w:rPr>
          <w:rFonts w:ascii="Arial" w:hAnsi="Arial" w:cs="Arial"/>
          <w:color w:val="222222"/>
          <w:sz w:val="22"/>
          <w:szCs w:val="22"/>
        </w:rPr>
        <w:t>5.  </w:t>
      </w:r>
      <w:r w:rsidRPr="00E93D6E">
        <w:rPr>
          <w:rFonts w:ascii="Arial" w:hAnsi="Arial" w:cs="Arial"/>
          <w:b/>
          <w:bCs/>
          <w:color w:val="222222"/>
          <w:sz w:val="22"/>
          <w:szCs w:val="22"/>
        </w:rPr>
        <w:t>Tenure</w:t>
      </w:r>
      <w:r w:rsidRPr="00E93D6E">
        <w:rPr>
          <w:rFonts w:ascii="Arial" w:hAnsi="Arial" w:cs="Arial"/>
          <w:color w:val="222222"/>
          <w:sz w:val="22"/>
          <w:szCs w:val="22"/>
        </w:rPr>
        <w:t>: 13 years (3 years moratorium + 10 years repayment).</w:t>
      </w:r>
    </w:p>
    <w:p w:rsidR="00415942" w:rsidRPr="00E93D6E" w:rsidRDefault="00415942" w:rsidP="00415942">
      <w:pPr>
        <w:shd w:val="clear" w:color="auto" w:fill="FFFFFF"/>
        <w:spacing w:line="360" w:lineRule="auto"/>
        <w:jc w:val="both"/>
        <w:rPr>
          <w:rFonts w:ascii="Arial" w:hAnsi="Arial" w:cs="Arial"/>
          <w:color w:val="222222"/>
          <w:sz w:val="22"/>
          <w:szCs w:val="22"/>
        </w:rPr>
      </w:pPr>
      <w:r w:rsidRPr="00E93D6E">
        <w:rPr>
          <w:rFonts w:ascii="Arial" w:hAnsi="Arial" w:cs="Arial"/>
          <w:color w:val="222222"/>
          <w:sz w:val="22"/>
          <w:szCs w:val="22"/>
        </w:rPr>
        <w:t>6.  </w:t>
      </w:r>
      <w:r w:rsidRPr="00E93D6E">
        <w:rPr>
          <w:rFonts w:ascii="Arial" w:hAnsi="Arial" w:cs="Arial"/>
          <w:b/>
          <w:color w:val="222222"/>
          <w:sz w:val="22"/>
          <w:szCs w:val="22"/>
        </w:rPr>
        <w:t>Liquidated Damages:</w:t>
      </w:r>
      <w:r w:rsidRPr="00E93D6E">
        <w:rPr>
          <w:rFonts w:ascii="Arial" w:hAnsi="Arial" w:cs="Arial"/>
          <w:color w:val="222222"/>
          <w:sz w:val="22"/>
          <w:szCs w:val="22"/>
        </w:rPr>
        <w:t xml:space="preserve"> The liquidated damages on the default amount prescribed under REC policy (which is presently 2% p.a.) both compounded on quarterly basis.</w:t>
      </w:r>
    </w:p>
    <w:p w:rsidR="00415942" w:rsidRPr="00E93D6E" w:rsidRDefault="00415942" w:rsidP="00415942">
      <w:pPr>
        <w:shd w:val="clear" w:color="auto" w:fill="FFFFFF"/>
        <w:spacing w:line="360" w:lineRule="auto"/>
        <w:jc w:val="both"/>
        <w:rPr>
          <w:rFonts w:ascii="Arial" w:hAnsi="Arial" w:cs="Arial"/>
          <w:color w:val="222222"/>
          <w:sz w:val="22"/>
          <w:szCs w:val="22"/>
        </w:rPr>
      </w:pPr>
      <w:r w:rsidRPr="00E93D6E">
        <w:rPr>
          <w:rFonts w:ascii="Arial" w:hAnsi="Arial" w:cs="Arial"/>
          <w:color w:val="222222"/>
          <w:sz w:val="22"/>
          <w:szCs w:val="22"/>
        </w:rPr>
        <w:t>7.  </w:t>
      </w:r>
      <w:r w:rsidRPr="00E93D6E">
        <w:rPr>
          <w:rFonts w:ascii="Arial" w:hAnsi="Arial" w:cs="Arial"/>
          <w:b/>
          <w:color w:val="222222"/>
          <w:sz w:val="22"/>
          <w:szCs w:val="22"/>
        </w:rPr>
        <w:t>Pre-payment:</w:t>
      </w:r>
      <w:r w:rsidRPr="00E93D6E">
        <w:rPr>
          <w:rFonts w:ascii="Arial" w:hAnsi="Arial" w:cs="Arial"/>
          <w:color w:val="222222"/>
          <w:sz w:val="22"/>
          <w:szCs w:val="22"/>
        </w:rPr>
        <w:t xml:space="preserve"> The Borrower shall not prepay the outstanding loan amount of the RTL in full or in part unless the lender gives its explicit consent for such repayment.</w:t>
      </w:r>
    </w:p>
    <w:p w:rsidR="00415942" w:rsidRPr="00E93D6E" w:rsidRDefault="00415942" w:rsidP="00415942">
      <w:pPr>
        <w:shd w:val="clear" w:color="auto" w:fill="FFFFFF"/>
        <w:spacing w:line="360" w:lineRule="auto"/>
        <w:jc w:val="both"/>
        <w:rPr>
          <w:rFonts w:ascii="Arial" w:hAnsi="Arial" w:cs="Arial"/>
          <w:sz w:val="22"/>
          <w:szCs w:val="22"/>
        </w:rPr>
      </w:pPr>
      <w:r w:rsidRPr="00E93D6E">
        <w:rPr>
          <w:rFonts w:ascii="Arial" w:hAnsi="Arial" w:cs="Arial"/>
          <w:color w:val="222222"/>
          <w:sz w:val="22"/>
          <w:szCs w:val="22"/>
        </w:rPr>
        <w:t>8. </w:t>
      </w:r>
      <w:r w:rsidRPr="00E93D6E">
        <w:rPr>
          <w:rFonts w:ascii="Arial" w:hAnsi="Arial" w:cs="Arial"/>
          <w:b/>
          <w:bCs/>
          <w:color w:val="222222"/>
          <w:sz w:val="22"/>
          <w:szCs w:val="22"/>
        </w:rPr>
        <w:t>Security:</w:t>
      </w:r>
      <w:r w:rsidRPr="00E93D6E">
        <w:rPr>
          <w:rStyle w:val="apple-converted-space"/>
          <w:rFonts w:ascii="Arial" w:hAnsi="Arial" w:cs="Arial"/>
          <w:b/>
          <w:bCs/>
          <w:color w:val="222222"/>
          <w:sz w:val="22"/>
          <w:szCs w:val="22"/>
        </w:rPr>
        <w:t> </w:t>
      </w:r>
      <w:r w:rsidRPr="00E93D6E">
        <w:rPr>
          <w:rFonts w:ascii="Arial" w:hAnsi="Arial" w:cs="Arial"/>
          <w:color w:val="222222"/>
          <w:sz w:val="22"/>
          <w:szCs w:val="22"/>
        </w:rPr>
        <w:t xml:space="preserve">Hypothecation of 100% future Assets created out of the project cost and hypothecation of 100% identified assets i.e. to the extent of project cost (200% security). </w:t>
      </w:r>
    </w:p>
    <w:p w:rsidR="00415942" w:rsidRPr="00E93D6E" w:rsidRDefault="00415942" w:rsidP="00415942">
      <w:pPr>
        <w:spacing w:line="360" w:lineRule="auto"/>
        <w:jc w:val="both"/>
        <w:rPr>
          <w:rFonts w:ascii="Arial" w:hAnsi="Arial" w:cs="Arial"/>
          <w:sz w:val="22"/>
          <w:szCs w:val="22"/>
        </w:rPr>
      </w:pPr>
      <w:r w:rsidRPr="00E93D6E">
        <w:rPr>
          <w:rFonts w:ascii="Arial" w:hAnsi="Arial" w:cs="Arial"/>
          <w:sz w:val="22"/>
          <w:szCs w:val="22"/>
        </w:rPr>
        <w:t>DISCOMs vide letter dated 03.04.2014 intimated the same to GRIDCO and requested to release assets in line with the directions of Hon’ble OERC dated 29.03.2012 and 30.03.2012. In reply, GRIDCO vide letter dated 22.04.2014 intimated that the matter was forwarded to GoO to take suitable decision. Further, we requested Deptt. of Energy, GoO, vide our letter no. 367 dated 20.05.2014 for early communication of decision of Govt. of Odisha in the matter but so far have not received any favorable communication in this regard.</w:t>
      </w:r>
    </w:p>
    <w:p w:rsidR="00415942" w:rsidRPr="00E93D6E" w:rsidRDefault="00415942" w:rsidP="00415942">
      <w:pPr>
        <w:spacing w:line="360" w:lineRule="auto"/>
        <w:jc w:val="both"/>
        <w:rPr>
          <w:rFonts w:ascii="Arial" w:hAnsi="Arial" w:cs="Arial"/>
          <w:sz w:val="22"/>
          <w:szCs w:val="22"/>
        </w:rPr>
      </w:pPr>
      <w:r w:rsidRPr="00E93D6E">
        <w:rPr>
          <w:rFonts w:ascii="Arial" w:hAnsi="Arial" w:cs="Arial"/>
          <w:sz w:val="22"/>
          <w:szCs w:val="22"/>
        </w:rPr>
        <w:t>In anticipation of release of Assets by GRIDCO, DISCOMs have executed Loan Agreement with REC on 27.09.2014 before expiry of the time limit and paid the full processing fees as stipulated in Sanctioned letter of REC. DISCOMs are yet to execute Hypothecation Deed and other documents with REC due to non-release of Assets by GRIDCO.</w:t>
      </w:r>
    </w:p>
    <w:p w:rsidR="00230C80" w:rsidRPr="00E93D6E" w:rsidRDefault="00230C80" w:rsidP="00415942">
      <w:pPr>
        <w:rPr>
          <w:rFonts w:ascii="Arial" w:hAnsi="Arial" w:cs="Arial"/>
          <w:sz w:val="22"/>
          <w:szCs w:val="22"/>
        </w:rPr>
      </w:pPr>
    </w:p>
    <w:p w:rsidR="00230C80" w:rsidRPr="00E93D6E" w:rsidRDefault="00230C80" w:rsidP="00230C80">
      <w:pPr>
        <w:spacing w:line="360" w:lineRule="auto"/>
        <w:jc w:val="both"/>
        <w:rPr>
          <w:rFonts w:ascii="Arial" w:hAnsi="Arial" w:cs="Arial"/>
          <w:sz w:val="22"/>
          <w:szCs w:val="22"/>
        </w:rPr>
      </w:pPr>
      <w:r w:rsidRPr="00E93D6E">
        <w:rPr>
          <w:rFonts w:ascii="Arial" w:hAnsi="Arial" w:cs="Arial"/>
          <w:sz w:val="22"/>
          <w:szCs w:val="22"/>
        </w:rPr>
        <w:t xml:space="preserve">DISCOMs vide Letter No. 275 dated 03.04.2014 had intimated the detailed sanction of REC towards counterpart requirement of Rs. 50.84 Crore for FY 2013-14 to GRIDCO, GoO and Hon’ble OERC and requested to release assets so that security as per terms of REC can be provided. </w:t>
      </w:r>
    </w:p>
    <w:p w:rsidR="00230C80" w:rsidRPr="00E93D6E" w:rsidRDefault="00230C80" w:rsidP="00230C80">
      <w:pPr>
        <w:spacing w:line="360" w:lineRule="auto"/>
        <w:jc w:val="both"/>
        <w:rPr>
          <w:rFonts w:ascii="Arial" w:hAnsi="Arial" w:cs="Arial"/>
          <w:sz w:val="22"/>
          <w:szCs w:val="22"/>
        </w:rPr>
      </w:pPr>
      <w:r w:rsidRPr="00E93D6E">
        <w:rPr>
          <w:rFonts w:ascii="Arial" w:hAnsi="Arial" w:cs="Arial"/>
          <w:sz w:val="22"/>
          <w:szCs w:val="22"/>
        </w:rPr>
        <w:t xml:space="preserve">In view of the NTPC Bond Subscription Agreement, Discoms had created charge on Assets (present &amp; future) of DISCOMs in favour of GRIDCO. GRIDCO is yet to release entire Assets after retaining Assets of Rs. 250 Cr as per the Order of the Hon’ble Commission dated 29.03.2012 and Corrigendum Order dated 30.03.2012. GRIDCO vide Letter No. 127 dated </w:t>
      </w:r>
      <w:r w:rsidRPr="00E93D6E">
        <w:rPr>
          <w:rFonts w:ascii="Arial" w:hAnsi="Arial" w:cs="Arial"/>
          <w:sz w:val="22"/>
          <w:szCs w:val="22"/>
        </w:rPr>
        <w:lastRenderedPageBreak/>
        <w:t xml:space="preserve">22.04.2014 forwarded DISCOMs request for suitable decision by GoO on ceding of charges under GoO CAPEX in favour of DISCOMs. Further, we requested Deptt. of Energy, GoO, vide our letter no. 367 dated 20.05.2014  for early communication of decision of Govt. of Odisha in the matter but so far have not received any favorable communication in this regard. It is pertinent to mention that NESCO / WESCO has already paid full amount of the NEW loan balance amount. </w:t>
      </w:r>
    </w:p>
    <w:p w:rsidR="00230C80" w:rsidRPr="00E93D6E" w:rsidRDefault="00230C80" w:rsidP="00230C80">
      <w:pPr>
        <w:spacing w:line="360" w:lineRule="auto"/>
        <w:jc w:val="both"/>
        <w:rPr>
          <w:rFonts w:ascii="Arial" w:hAnsi="Arial" w:cs="Arial"/>
          <w:sz w:val="22"/>
          <w:szCs w:val="22"/>
        </w:rPr>
      </w:pPr>
    </w:p>
    <w:p w:rsidR="00230C80" w:rsidRPr="00E93D6E" w:rsidRDefault="00230C80" w:rsidP="00230C80">
      <w:pPr>
        <w:spacing w:line="360" w:lineRule="auto"/>
        <w:jc w:val="both"/>
        <w:rPr>
          <w:rFonts w:ascii="Arial" w:hAnsi="Arial" w:cs="Arial"/>
          <w:sz w:val="22"/>
          <w:szCs w:val="22"/>
        </w:rPr>
      </w:pPr>
      <w:r w:rsidRPr="00E93D6E">
        <w:rPr>
          <w:rFonts w:ascii="Arial" w:hAnsi="Arial" w:cs="Arial"/>
          <w:sz w:val="22"/>
          <w:szCs w:val="22"/>
        </w:rPr>
        <w:t xml:space="preserve">We are continuously following up with GRIDCO / GoO to release the Assets to avail the aforesaid loan sanctioned by RECAs an interim arrangement, DISCOMs had also requested GRIDCO vide letter dated 16.09.2014, as an alternative, either to release the Assets to the tune of Rs. 50crore for each </w:t>
      </w:r>
      <w:r w:rsidR="00BE36FE">
        <w:rPr>
          <w:rFonts w:ascii="Arial" w:hAnsi="Arial" w:cs="Arial"/>
          <w:sz w:val="22"/>
          <w:szCs w:val="22"/>
        </w:rPr>
        <w:t xml:space="preserve">of the </w:t>
      </w:r>
      <w:r w:rsidRPr="00E93D6E">
        <w:rPr>
          <w:rFonts w:ascii="Arial" w:hAnsi="Arial" w:cs="Arial"/>
          <w:sz w:val="22"/>
          <w:szCs w:val="22"/>
        </w:rPr>
        <w:t xml:space="preserve">Discoms provisionally in anticipation of approval from State Govt. or GRDICO consider to represent as a guarantor against the proposed loan as referred above. Till date, DISCOMs have not received any response in this regard also. </w:t>
      </w:r>
    </w:p>
    <w:p w:rsidR="00230C80" w:rsidRPr="00E93D6E" w:rsidRDefault="00230C80" w:rsidP="00230C80">
      <w:pPr>
        <w:spacing w:line="360" w:lineRule="auto"/>
        <w:jc w:val="both"/>
        <w:rPr>
          <w:rFonts w:ascii="Arial" w:hAnsi="Arial" w:cs="Arial"/>
          <w:sz w:val="22"/>
          <w:szCs w:val="22"/>
        </w:rPr>
      </w:pPr>
      <w:r w:rsidRPr="00E93D6E">
        <w:rPr>
          <w:rFonts w:ascii="Arial" w:hAnsi="Arial" w:cs="Arial"/>
          <w:sz w:val="22"/>
          <w:szCs w:val="22"/>
        </w:rPr>
        <w:t xml:space="preserve">Recently, DISCOMs vide letter no. 770 dated 18.11.2014 have again requested Deptt. </w:t>
      </w:r>
      <w:r w:rsidR="00BE36FE">
        <w:rPr>
          <w:rFonts w:ascii="Arial" w:hAnsi="Arial" w:cs="Arial"/>
          <w:sz w:val="22"/>
          <w:szCs w:val="22"/>
        </w:rPr>
        <w:t>o</w:t>
      </w:r>
      <w:r w:rsidRPr="00E93D6E">
        <w:rPr>
          <w:rFonts w:ascii="Arial" w:hAnsi="Arial" w:cs="Arial"/>
          <w:sz w:val="22"/>
          <w:szCs w:val="22"/>
        </w:rPr>
        <w:t>f Energy, GoO to direct GRIDCO suitably for release of Assets for availing counterpart loan from REC.</w:t>
      </w:r>
    </w:p>
    <w:p w:rsidR="00230C80" w:rsidRPr="00E93D6E" w:rsidRDefault="00230C80" w:rsidP="00230C80">
      <w:pPr>
        <w:spacing w:line="360" w:lineRule="auto"/>
        <w:jc w:val="both"/>
        <w:rPr>
          <w:rFonts w:ascii="Arial" w:hAnsi="Arial" w:cs="Arial"/>
          <w:b/>
          <w:sz w:val="22"/>
          <w:szCs w:val="22"/>
        </w:rPr>
      </w:pPr>
      <w:r w:rsidRPr="00E93D6E">
        <w:rPr>
          <w:rFonts w:ascii="Arial" w:hAnsi="Arial" w:cs="Arial"/>
          <w:b/>
          <w:sz w:val="22"/>
          <w:szCs w:val="22"/>
        </w:rPr>
        <w:t xml:space="preserve">In the above </w:t>
      </w:r>
      <w:r w:rsidR="00BE36FE">
        <w:rPr>
          <w:rFonts w:ascii="Arial" w:hAnsi="Arial" w:cs="Arial"/>
          <w:b/>
          <w:sz w:val="22"/>
          <w:szCs w:val="22"/>
        </w:rPr>
        <w:t>c</w:t>
      </w:r>
      <w:r w:rsidRPr="00E93D6E">
        <w:rPr>
          <w:rFonts w:ascii="Arial" w:hAnsi="Arial" w:cs="Arial"/>
          <w:b/>
          <w:sz w:val="22"/>
          <w:szCs w:val="22"/>
        </w:rPr>
        <w:t xml:space="preserve">ircumstances, </w:t>
      </w:r>
      <w:r w:rsidR="00BE36FE">
        <w:rPr>
          <w:rFonts w:ascii="Arial" w:hAnsi="Arial" w:cs="Arial"/>
          <w:b/>
          <w:sz w:val="22"/>
          <w:szCs w:val="22"/>
        </w:rPr>
        <w:t>NESCO</w:t>
      </w:r>
      <w:r w:rsidRPr="00E93D6E">
        <w:rPr>
          <w:rFonts w:ascii="Arial" w:hAnsi="Arial" w:cs="Arial"/>
          <w:b/>
          <w:sz w:val="22"/>
          <w:szCs w:val="22"/>
        </w:rPr>
        <w:t xml:space="preserve"> pray</w:t>
      </w:r>
      <w:r w:rsidR="00BE36FE">
        <w:rPr>
          <w:rFonts w:ascii="Arial" w:hAnsi="Arial" w:cs="Arial"/>
          <w:b/>
          <w:sz w:val="22"/>
          <w:szCs w:val="22"/>
        </w:rPr>
        <w:t>s</w:t>
      </w:r>
      <w:r w:rsidRPr="00E93D6E">
        <w:rPr>
          <w:rFonts w:ascii="Arial" w:hAnsi="Arial" w:cs="Arial"/>
          <w:b/>
          <w:sz w:val="22"/>
          <w:szCs w:val="22"/>
        </w:rPr>
        <w:t>ed Hon’ble Commission to advice GRIDCO / GoO to release Assets for availing counterpart loan from REC.</w:t>
      </w:r>
    </w:p>
    <w:p w:rsidR="009E0A9B" w:rsidRPr="00E93D6E" w:rsidRDefault="009E0A9B" w:rsidP="00CF66A5">
      <w:pPr>
        <w:pStyle w:val="Heading1"/>
        <w:numPr>
          <w:ilvl w:val="0"/>
          <w:numId w:val="49"/>
        </w:numPr>
        <w:spacing w:line="360" w:lineRule="auto"/>
        <w:jc w:val="both"/>
        <w:rPr>
          <w:sz w:val="22"/>
          <w:szCs w:val="22"/>
        </w:rPr>
      </w:pPr>
      <w:bookmarkStart w:id="108" w:name="_Toc278737567"/>
      <w:bookmarkStart w:id="109" w:name="_Toc404940205"/>
      <w:bookmarkEnd w:id="108"/>
      <w:r w:rsidRPr="00E93D6E">
        <w:rPr>
          <w:sz w:val="22"/>
          <w:szCs w:val="22"/>
        </w:rPr>
        <w:t>Tariff Rationalization Measures</w:t>
      </w:r>
      <w:bookmarkEnd w:id="109"/>
    </w:p>
    <w:p w:rsidR="00786E7F" w:rsidRPr="00E93D6E" w:rsidRDefault="00E568C5" w:rsidP="00CF66A5">
      <w:pPr>
        <w:pStyle w:val="Heading1"/>
        <w:numPr>
          <w:ilvl w:val="1"/>
          <w:numId w:val="49"/>
        </w:numPr>
        <w:spacing w:line="360" w:lineRule="auto"/>
        <w:jc w:val="both"/>
        <w:rPr>
          <w:sz w:val="22"/>
          <w:szCs w:val="22"/>
        </w:rPr>
      </w:pPr>
      <w:bookmarkStart w:id="110" w:name="_Toc404940206"/>
      <w:r w:rsidRPr="00E93D6E">
        <w:rPr>
          <w:sz w:val="22"/>
          <w:szCs w:val="22"/>
        </w:rPr>
        <w:t>Levy of Meter Rent on Smart, Prepaid Meters</w:t>
      </w:r>
      <w:bookmarkEnd w:id="110"/>
    </w:p>
    <w:p w:rsidR="00E568C5" w:rsidRPr="00E93D6E" w:rsidRDefault="00E568C5" w:rsidP="00E568C5">
      <w:pPr>
        <w:pStyle w:val="NoSpacing"/>
        <w:spacing w:line="360" w:lineRule="auto"/>
        <w:jc w:val="both"/>
        <w:rPr>
          <w:rFonts w:ascii="Arial" w:eastAsia="Times New Roman" w:hAnsi="Arial" w:cs="Arial"/>
          <w:lang w:val="en-US"/>
        </w:rPr>
      </w:pPr>
      <w:r w:rsidRPr="00E93D6E">
        <w:rPr>
          <w:rFonts w:ascii="Arial" w:eastAsia="Times New Roman" w:hAnsi="Arial" w:cs="Arial"/>
          <w:lang w:val="en-US"/>
        </w:rPr>
        <w:t>In view of the above revenue deficit in three DISCOMs &amp; for smooth operation of Prepaid metering system following suggestions are submitted for kind consideration of Hon, ble Commission.</w:t>
      </w:r>
    </w:p>
    <w:p w:rsidR="00E568C5" w:rsidRPr="00E93D6E" w:rsidRDefault="00E568C5" w:rsidP="00CF66A5">
      <w:pPr>
        <w:pStyle w:val="ListParagraph"/>
        <w:numPr>
          <w:ilvl w:val="0"/>
          <w:numId w:val="40"/>
        </w:numPr>
        <w:spacing w:after="0" w:line="360" w:lineRule="auto"/>
        <w:ind w:left="0"/>
        <w:jc w:val="both"/>
        <w:rPr>
          <w:rFonts w:ascii="Arial" w:eastAsia="Times New Roman" w:hAnsi="Arial" w:cs="Arial"/>
        </w:rPr>
      </w:pPr>
      <w:r w:rsidRPr="00E93D6E">
        <w:rPr>
          <w:rFonts w:ascii="Arial" w:eastAsia="Times New Roman" w:hAnsi="Arial" w:cs="Arial"/>
        </w:rPr>
        <w:t>the Meter Rent fixed for the LT Single Phase and Three Phase AMR / AMI Compliant meters  need to be reviewed by Hon’ble Commission and the Meter rent for the AMR / AMI Based Meters and Pre-paid type single Phase Meters should be Rs 300/- Per Month and three Phase Meters  Rs 500/- Month.  Or</w:t>
      </w:r>
    </w:p>
    <w:p w:rsidR="00E568C5" w:rsidRPr="00E93D6E" w:rsidRDefault="00E568C5" w:rsidP="00CF66A5">
      <w:pPr>
        <w:pStyle w:val="ListParagraph"/>
        <w:numPr>
          <w:ilvl w:val="0"/>
          <w:numId w:val="40"/>
        </w:numPr>
        <w:spacing w:after="0" w:line="360" w:lineRule="auto"/>
        <w:ind w:left="0"/>
        <w:jc w:val="both"/>
        <w:rPr>
          <w:rFonts w:ascii="Arial" w:eastAsia="Times New Roman" w:hAnsi="Arial" w:cs="Arial"/>
        </w:rPr>
      </w:pPr>
      <w:r w:rsidRPr="00E93D6E">
        <w:rPr>
          <w:rFonts w:ascii="Arial" w:eastAsia="Times New Roman" w:hAnsi="Arial" w:cs="Arial"/>
        </w:rPr>
        <w:t>The existing meter rent recovered by the Licensee from the consumers are negligible and the leasing as well as vending service charges are high enough as a result, there is a huge difference. Accordingly,  Hon’ble Commission may kindly allow difference in such recoveries and recurring costs</w:t>
      </w:r>
    </w:p>
    <w:p w:rsidR="00E568C5" w:rsidRPr="00E93D6E" w:rsidRDefault="00E568C5" w:rsidP="00CF66A5">
      <w:pPr>
        <w:pStyle w:val="ListParagraph"/>
        <w:numPr>
          <w:ilvl w:val="0"/>
          <w:numId w:val="40"/>
        </w:numPr>
        <w:spacing w:after="0" w:line="360" w:lineRule="auto"/>
        <w:ind w:left="0"/>
        <w:jc w:val="both"/>
        <w:rPr>
          <w:rFonts w:ascii="Arial" w:eastAsia="Times New Roman" w:hAnsi="Arial" w:cs="Arial"/>
        </w:rPr>
      </w:pPr>
      <w:r w:rsidRPr="00E93D6E">
        <w:rPr>
          <w:rFonts w:ascii="Arial" w:eastAsia="Times New Roman" w:hAnsi="Arial" w:cs="Arial"/>
        </w:rPr>
        <w:t xml:space="preserve">It is suggested that the present slab wise rate tariff, is simplified </w:t>
      </w:r>
      <w:r w:rsidR="000E0984" w:rsidRPr="00E93D6E">
        <w:rPr>
          <w:rFonts w:ascii="Arial" w:eastAsia="Times New Roman" w:hAnsi="Arial" w:cs="Arial"/>
        </w:rPr>
        <w:t xml:space="preserve">for ease of consumers opting out for the same. The additional rebate of  Rs 0.25 per unit allowed in smart metering scheme may be withdrawn </w:t>
      </w:r>
    </w:p>
    <w:p w:rsidR="00E568C5" w:rsidRPr="00E93D6E" w:rsidRDefault="00E568C5" w:rsidP="00CF66A5">
      <w:pPr>
        <w:pStyle w:val="NoSpacing"/>
        <w:numPr>
          <w:ilvl w:val="0"/>
          <w:numId w:val="40"/>
        </w:numPr>
        <w:spacing w:line="360" w:lineRule="auto"/>
        <w:ind w:left="0"/>
        <w:jc w:val="both"/>
        <w:rPr>
          <w:rFonts w:ascii="Arial" w:eastAsia="Times New Roman" w:hAnsi="Arial" w:cs="Arial"/>
          <w:lang w:val="en-US"/>
        </w:rPr>
      </w:pPr>
      <w:r w:rsidRPr="00E93D6E">
        <w:rPr>
          <w:rFonts w:ascii="Arial" w:eastAsia="Times New Roman" w:hAnsi="Arial" w:cs="Arial"/>
          <w:lang w:val="en-US"/>
        </w:rPr>
        <w:lastRenderedPageBreak/>
        <w:t>A principle may be approved by Commission for adjustment of outstanding arrears along with its part payment before implementation of Prepaid metering system.</w:t>
      </w:r>
    </w:p>
    <w:p w:rsidR="000E0984" w:rsidRPr="00E93D6E" w:rsidRDefault="000E0984" w:rsidP="00CF66A5">
      <w:pPr>
        <w:pStyle w:val="NoSpacing"/>
        <w:numPr>
          <w:ilvl w:val="0"/>
          <w:numId w:val="40"/>
        </w:numPr>
        <w:spacing w:line="360" w:lineRule="auto"/>
        <w:ind w:left="0"/>
        <w:jc w:val="both"/>
        <w:rPr>
          <w:rFonts w:ascii="Arial" w:eastAsia="Times New Roman" w:hAnsi="Arial" w:cs="Arial"/>
          <w:lang w:val="en-US"/>
        </w:rPr>
      </w:pPr>
      <w:r w:rsidRPr="00E93D6E">
        <w:rPr>
          <w:rFonts w:ascii="Arial" w:eastAsia="Times New Roman" w:hAnsi="Arial" w:cs="Arial"/>
          <w:lang w:val="en-US"/>
        </w:rPr>
        <w:t>It is further submitted that the Govt of Odisha notification, for all govt offices to stop paying regular electricity dues beyond 1.4.2013 may also be withdrawn and it is difficult to cover all such govt consumers with prepaid meters , within a period of 57 days , moreso when the technical specifications was also not available.</w:t>
      </w:r>
    </w:p>
    <w:p w:rsidR="00E568C5" w:rsidRPr="00E568C5" w:rsidRDefault="00E568C5" w:rsidP="00E568C5"/>
    <w:p w:rsidR="009E0A9B" w:rsidRPr="00BF0E9D" w:rsidRDefault="00264B52" w:rsidP="00CF66A5">
      <w:pPr>
        <w:pStyle w:val="Heading1"/>
        <w:numPr>
          <w:ilvl w:val="1"/>
          <w:numId w:val="49"/>
        </w:numPr>
        <w:spacing w:line="360" w:lineRule="auto"/>
        <w:jc w:val="both"/>
        <w:rPr>
          <w:rFonts w:ascii="Cambria" w:hAnsi="Cambria"/>
          <w:sz w:val="24"/>
          <w:szCs w:val="24"/>
        </w:rPr>
      </w:pPr>
      <w:bookmarkStart w:id="111" w:name="_Toc404940207"/>
      <w:r w:rsidRPr="00BF0E9D">
        <w:rPr>
          <w:rFonts w:ascii="Cambria" w:hAnsi="Cambria"/>
          <w:sz w:val="24"/>
          <w:szCs w:val="24"/>
        </w:rPr>
        <w:t xml:space="preserve">Introduction of </w:t>
      </w:r>
      <w:r w:rsidR="009E0A9B" w:rsidRPr="00BF0E9D">
        <w:rPr>
          <w:rFonts w:ascii="Cambria" w:hAnsi="Cambria"/>
          <w:sz w:val="24"/>
          <w:szCs w:val="24"/>
        </w:rPr>
        <w:t>KVAH Billing</w:t>
      </w:r>
      <w:bookmarkEnd w:id="111"/>
    </w:p>
    <w:p w:rsidR="005D264D" w:rsidRPr="00E93D6E" w:rsidRDefault="005D264D" w:rsidP="005D264D">
      <w:pPr>
        <w:spacing w:line="360" w:lineRule="auto"/>
        <w:ind w:left="360"/>
        <w:jc w:val="both"/>
        <w:rPr>
          <w:rFonts w:ascii="Arial" w:hAnsi="Arial" w:cs="Arial"/>
          <w:sz w:val="22"/>
          <w:szCs w:val="22"/>
        </w:rPr>
      </w:pPr>
      <w:r w:rsidRPr="00E93D6E">
        <w:rPr>
          <w:rFonts w:ascii="Arial" w:hAnsi="Arial" w:cs="Arial"/>
          <w:color w:val="222222"/>
          <w:sz w:val="22"/>
          <w:szCs w:val="22"/>
          <w:lang w:val="en-IN" w:eastAsia="en-IN" w:bidi="or-IN"/>
        </w:rPr>
        <w:t>“</w:t>
      </w:r>
      <w:r w:rsidRPr="00E93D6E">
        <w:rPr>
          <w:rFonts w:ascii="Arial" w:hAnsi="Arial" w:cs="Arial"/>
          <w:sz w:val="22"/>
          <w:szCs w:val="22"/>
        </w:rPr>
        <w:t xml:space="preserve">Billing to Consumers based on kVAh recording instead of kWh recording </w:t>
      </w:r>
    </w:p>
    <w:p w:rsidR="005D264D" w:rsidRPr="00E93D6E" w:rsidRDefault="005D264D" w:rsidP="005D264D">
      <w:pPr>
        <w:spacing w:line="360" w:lineRule="auto"/>
        <w:ind w:left="360"/>
        <w:jc w:val="both"/>
        <w:rPr>
          <w:rFonts w:ascii="Arial" w:hAnsi="Arial" w:cs="Arial"/>
          <w:sz w:val="22"/>
          <w:szCs w:val="22"/>
        </w:rPr>
      </w:pPr>
      <w:r w:rsidRPr="00E93D6E">
        <w:rPr>
          <w:rFonts w:ascii="Arial" w:hAnsi="Arial" w:cs="Arial"/>
          <w:sz w:val="22"/>
          <w:szCs w:val="22"/>
        </w:rPr>
        <w:t xml:space="preserve">OR </w:t>
      </w:r>
    </w:p>
    <w:p w:rsidR="005D264D" w:rsidRPr="00E93D6E" w:rsidRDefault="005D264D" w:rsidP="005D264D">
      <w:pPr>
        <w:spacing w:line="360" w:lineRule="auto"/>
        <w:ind w:left="360"/>
        <w:jc w:val="both"/>
        <w:rPr>
          <w:rFonts w:ascii="Arial" w:hAnsi="Arial" w:cs="Arial"/>
          <w:color w:val="222222"/>
          <w:sz w:val="22"/>
          <w:szCs w:val="22"/>
          <w:lang w:val="en-IN" w:eastAsia="en-IN" w:bidi="or-IN"/>
        </w:rPr>
      </w:pPr>
      <w:r w:rsidRPr="00E93D6E">
        <w:rPr>
          <w:rFonts w:ascii="Arial" w:hAnsi="Arial" w:cs="Arial"/>
          <w:sz w:val="22"/>
          <w:szCs w:val="22"/>
        </w:rPr>
        <w:t>Power Factor Penalty to HT &amp; LT Consumers above 20 KW :</w:t>
      </w:r>
    </w:p>
    <w:p w:rsidR="005D264D" w:rsidRPr="00E93D6E" w:rsidRDefault="005D264D" w:rsidP="005D264D">
      <w:pPr>
        <w:spacing w:line="360" w:lineRule="auto"/>
        <w:ind w:left="360"/>
        <w:jc w:val="both"/>
        <w:rPr>
          <w:rFonts w:ascii="Arial" w:hAnsi="Arial" w:cs="Arial"/>
          <w:color w:val="222222"/>
          <w:sz w:val="22"/>
          <w:szCs w:val="22"/>
          <w:lang w:val="en-IN" w:eastAsia="en-IN" w:bidi="or-IN"/>
        </w:rPr>
      </w:pPr>
    </w:p>
    <w:p w:rsidR="005D264D" w:rsidRPr="00E93D6E" w:rsidRDefault="005D264D" w:rsidP="005D264D">
      <w:pPr>
        <w:spacing w:line="360" w:lineRule="auto"/>
        <w:ind w:left="360"/>
        <w:jc w:val="both"/>
        <w:rPr>
          <w:rFonts w:ascii="Arial" w:hAnsi="Arial" w:cs="Arial"/>
          <w:color w:val="222222"/>
          <w:sz w:val="22"/>
          <w:szCs w:val="22"/>
          <w:lang w:val="en-IN" w:eastAsia="en-IN" w:bidi="or-IN"/>
        </w:rPr>
      </w:pPr>
      <w:r w:rsidRPr="00E93D6E">
        <w:rPr>
          <w:rFonts w:ascii="Arial" w:hAnsi="Arial" w:cs="Arial"/>
          <w:color w:val="222222"/>
          <w:sz w:val="22"/>
          <w:szCs w:val="22"/>
          <w:lang w:val="en-IN" w:eastAsia="en-IN" w:bidi="or-IN"/>
        </w:rPr>
        <w:t>The Hon’ble Commission in its RST Order dtd 22.03.2014 for FY-2014-2015 had given the following directions to the DISCOMs vide Para-246. The said Para-246 is quoted herein below.</w:t>
      </w:r>
    </w:p>
    <w:p w:rsidR="005D264D" w:rsidRPr="00E93D6E" w:rsidRDefault="005D264D" w:rsidP="005D264D">
      <w:pPr>
        <w:spacing w:line="360" w:lineRule="auto"/>
        <w:ind w:left="360"/>
        <w:jc w:val="both"/>
        <w:rPr>
          <w:rFonts w:ascii="Arial" w:hAnsi="Arial" w:cs="Arial"/>
          <w:color w:val="222222"/>
          <w:sz w:val="22"/>
          <w:szCs w:val="22"/>
          <w:u w:val="single"/>
          <w:lang w:val="en-IN" w:eastAsia="en-IN" w:bidi="or-IN"/>
        </w:rPr>
      </w:pPr>
    </w:p>
    <w:p w:rsidR="005D264D" w:rsidRPr="00E93D6E" w:rsidRDefault="005D264D" w:rsidP="005D264D">
      <w:pPr>
        <w:spacing w:line="360" w:lineRule="auto"/>
        <w:ind w:left="360"/>
        <w:jc w:val="both"/>
        <w:rPr>
          <w:rFonts w:ascii="Arial" w:hAnsi="Arial" w:cs="Arial"/>
          <w:i/>
          <w:sz w:val="22"/>
          <w:szCs w:val="22"/>
        </w:rPr>
      </w:pPr>
      <w:r w:rsidRPr="00E93D6E">
        <w:rPr>
          <w:rFonts w:ascii="Arial" w:hAnsi="Arial" w:cs="Arial"/>
          <w:color w:val="222222"/>
          <w:sz w:val="22"/>
          <w:szCs w:val="22"/>
          <w:lang w:val="en-IN" w:eastAsia="en-IN" w:bidi="or-IN"/>
        </w:rPr>
        <w:tab/>
      </w:r>
      <w:r w:rsidRPr="00E93D6E">
        <w:rPr>
          <w:rFonts w:ascii="Arial" w:hAnsi="Arial" w:cs="Arial"/>
          <w:i/>
          <w:color w:val="222222"/>
          <w:sz w:val="22"/>
          <w:szCs w:val="22"/>
          <w:lang w:val="en-IN" w:eastAsia="en-IN" w:bidi="or-IN"/>
        </w:rPr>
        <w:t>“</w:t>
      </w:r>
      <w:r w:rsidRPr="00E93D6E">
        <w:rPr>
          <w:rFonts w:ascii="Arial" w:hAnsi="Arial" w:cs="Arial"/>
          <w:i/>
          <w:sz w:val="22"/>
          <w:szCs w:val="22"/>
        </w:rPr>
        <w:t>Billing to Consumers based on kVAh recording instead of kWh recording.</w:t>
      </w:r>
    </w:p>
    <w:p w:rsidR="005D264D" w:rsidRPr="00E93D6E" w:rsidRDefault="005D264D" w:rsidP="005D264D">
      <w:pPr>
        <w:spacing w:line="360" w:lineRule="auto"/>
        <w:ind w:left="360"/>
        <w:jc w:val="both"/>
        <w:rPr>
          <w:rFonts w:ascii="Arial" w:hAnsi="Arial" w:cs="Arial"/>
          <w:i/>
          <w:sz w:val="22"/>
          <w:szCs w:val="22"/>
        </w:rPr>
      </w:pPr>
      <w:r w:rsidRPr="00E93D6E">
        <w:rPr>
          <w:rFonts w:ascii="Arial" w:hAnsi="Arial" w:cs="Arial"/>
          <w:sz w:val="22"/>
          <w:szCs w:val="22"/>
        </w:rPr>
        <w:t>The Commission after detailed analysis observed that the Licensees are not prepared with the necessary metering and billing arrangement for all the consumers to be covered under kVAh billing. Hence, the Commission declined to accept the proposal of the Licensees to introduce kVAh billing in a phased manner. However, the Licensees are required to justify their readiness to implement such system of billing as directed below:</w:t>
      </w:r>
    </w:p>
    <w:p w:rsidR="005D264D" w:rsidRPr="00E93D6E" w:rsidRDefault="005D264D" w:rsidP="005D264D">
      <w:pPr>
        <w:spacing w:line="360" w:lineRule="auto"/>
        <w:ind w:left="360"/>
        <w:jc w:val="both"/>
        <w:rPr>
          <w:rFonts w:ascii="Arial" w:hAnsi="Arial" w:cs="Arial"/>
          <w:i/>
          <w:sz w:val="22"/>
          <w:szCs w:val="22"/>
        </w:rPr>
      </w:pPr>
      <w:r w:rsidRPr="00E93D6E">
        <w:rPr>
          <w:rFonts w:ascii="Arial" w:hAnsi="Arial" w:cs="Arial"/>
          <w:i/>
          <w:sz w:val="22"/>
          <w:szCs w:val="22"/>
        </w:rPr>
        <w:t>The Commission directs the Distribution Licensees to prepare a detailed sales  containing category wise and consumer wise contracted load / connected load and their month wise consumption for the latest three years ending 31</w:t>
      </w:r>
      <w:r w:rsidRPr="00E93D6E">
        <w:rPr>
          <w:rFonts w:ascii="Arial" w:hAnsi="Arial" w:cs="Arial"/>
          <w:i/>
          <w:sz w:val="22"/>
          <w:szCs w:val="22"/>
          <w:vertAlign w:val="superscript"/>
        </w:rPr>
        <w:t>st</w:t>
      </w:r>
      <w:r w:rsidRPr="00E93D6E">
        <w:rPr>
          <w:rFonts w:ascii="Arial" w:hAnsi="Arial" w:cs="Arial"/>
          <w:i/>
          <w:sz w:val="22"/>
          <w:szCs w:val="22"/>
        </w:rPr>
        <w:t xml:space="preserve"> March, 2014 showing the consumer wise and month wise amount billed under Demand Charge/ MMFC, energy charge and power factor penalty of such consumers (for whom the Licensees intend to introduce kVAh billing)  including information on types of meters fitted against each consumer showing the capability of each meter for kVAh billing and the software developed by the Licensees for such billing. They are required to submit the complete information in this regard latest by 30</w:t>
      </w:r>
      <w:r w:rsidRPr="00E93D6E">
        <w:rPr>
          <w:rFonts w:ascii="Arial" w:hAnsi="Arial" w:cs="Arial"/>
          <w:i/>
          <w:sz w:val="22"/>
          <w:szCs w:val="22"/>
          <w:vertAlign w:val="superscript"/>
        </w:rPr>
        <w:t>th</w:t>
      </w:r>
      <w:r w:rsidRPr="00E93D6E">
        <w:rPr>
          <w:rFonts w:ascii="Arial" w:hAnsi="Arial" w:cs="Arial"/>
          <w:i/>
          <w:sz w:val="22"/>
          <w:szCs w:val="22"/>
        </w:rPr>
        <w:t xml:space="preserve"> September, 2014.”</w:t>
      </w:r>
    </w:p>
    <w:p w:rsidR="005D264D" w:rsidRPr="00E93D6E" w:rsidRDefault="005D264D" w:rsidP="005D264D">
      <w:pPr>
        <w:spacing w:line="360" w:lineRule="auto"/>
        <w:ind w:left="360"/>
        <w:jc w:val="both"/>
        <w:rPr>
          <w:rFonts w:ascii="Arial" w:hAnsi="Arial" w:cs="Arial"/>
          <w:sz w:val="22"/>
          <w:szCs w:val="22"/>
        </w:rPr>
      </w:pPr>
    </w:p>
    <w:p w:rsidR="005D264D" w:rsidRPr="00E93D6E" w:rsidRDefault="005D264D" w:rsidP="005D264D">
      <w:pPr>
        <w:spacing w:line="360" w:lineRule="auto"/>
        <w:ind w:left="360"/>
        <w:jc w:val="both"/>
        <w:rPr>
          <w:rFonts w:ascii="Arial" w:hAnsi="Arial" w:cs="Arial"/>
          <w:sz w:val="22"/>
          <w:szCs w:val="22"/>
        </w:rPr>
      </w:pPr>
      <w:r w:rsidRPr="00E93D6E">
        <w:rPr>
          <w:rFonts w:ascii="Arial" w:hAnsi="Arial" w:cs="Arial"/>
          <w:sz w:val="22"/>
          <w:szCs w:val="22"/>
        </w:rPr>
        <w:t xml:space="preserve">Incompliance to the above direction of Hon’ble commission NESCO &amp; WESCO have submitted the above required data of 20 KW and above Consumers before the Hon’ble commission During month of Oct’2014. </w:t>
      </w:r>
    </w:p>
    <w:p w:rsidR="005D264D" w:rsidRPr="00E93D6E" w:rsidRDefault="005D264D" w:rsidP="005D264D">
      <w:pPr>
        <w:spacing w:line="360" w:lineRule="auto"/>
        <w:ind w:left="360"/>
        <w:jc w:val="both"/>
        <w:rPr>
          <w:rFonts w:ascii="Arial" w:hAnsi="Arial" w:cs="Arial"/>
          <w:sz w:val="22"/>
          <w:szCs w:val="22"/>
        </w:rPr>
      </w:pPr>
    </w:p>
    <w:p w:rsidR="005D264D" w:rsidRPr="00E93D6E" w:rsidRDefault="005D264D" w:rsidP="005D264D">
      <w:pPr>
        <w:spacing w:line="360" w:lineRule="auto"/>
        <w:ind w:left="360"/>
        <w:jc w:val="both"/>
        <w:rPr>
          <w:rFonts w:ascii="Arial" w:hAnsi="Arial" w:cs="Arial"/>
          <w:color w:val="222222"/>
          <w:sz w:val="22"/>
          <w:szCs w:val="22"/>
          <w:lang w:val="en-IN" w:eastAsia="en-IN" w:bidi="or-IN"/>
        </w:rPr>
      </w:pPr>
      <w:r w:rsidRPr="00E93D6E">
        <w:rPr>
          <w:rFonts w:ascii="Arial" w:hAnsi="Arial" w:cs="Arial"/>
          <w:color w:val="222222"/>
          <w:sz w:val="22"/>
          <w:szCs w:val="22"/>
          <w:lang w:val="en-IN" w:eastAsia="en-IN" w:bidi="or-IN"/>
        </w:rPr>
        <w:lastRenderedPageBreak/>
        <w:t>This has been verified that all the 3-phase meters, especially those  installed for consumers having Contract Demand 20KW and above in the DISCOMs are enabled with all the energy parameters and storing dump record  of 35 days.  All such meters show instantaneous Power Factor and  monthly average Power Factor can be computed as ratio of  active power and apparent power drawn by consumers like in case of existing large and Medium Industries Consumers presently being billed. Hence  DISCOMs are fully equipped to implement KVAH billing in respect of all those consumers in place of  existing  KWH Billing.</w:t>
      </w:r>
    </w:p>
    <w:p w:rsidR="005D264D" w:rsidRPr="00E93D6E" w:rsidRDefault="005D264D" w:rsidP="005D264D">
      <w:pPr>
        <w:spacing w:line="360" w:lineRule="auto"/>
        <w:ind w:left="360"/>
        <w:jc w:val="both"/>
        <w:rPr>
          <w:rFonts w:ascii="Arial" w:hAnsi="Arial" w:cs="Arial"/>
          <w:color w:val="222222"/>
          <w:sz w:val="22"/>
          <w:szCs w:val="22"/>
          <w:lang w:val="en-IN" w:eastAsia="en-IN" w:bidi="or-IN"/>
        </w:rPr>
      </w:pPr>
    </w:p>
    <w:p w:rsidR="005D264D" w:rsidRPr="00E93D6E" w:rsidRDefault="005D264D" w:rsidP="005D264D">
      <w:pPr>
        <w:spacing w:line="360" w:lineRule="auto"/>
        <w:ind w:left="360"/>
        <w:jc w:val="both"/>
        <w:rPr>
          <w:rFonts w:ascii="Arial" w:hAnsi="Arial" w:cs="Arial"/>
          <w:color w:val="222222"/>
          <w:sz w:val="22"/>
          <w:szCs w:val="22"/>
          <w:u w:val="single"/>
          <w:lang w:val="en-IN" w:eastAsia="en-IN" w:bidi="or-IN"/>
        </w:rPr>
      </w:pPr>
      <w:r w:rsidRPr="00E93D6E">
        <w:rPr>
          <w:rFonts w:ascii="Arial" w:hAnsi="Arial" w:cs="Arial"/>
          <w:color w:val="222222"/>
          <w:sz w:val="22"/>
          <w:szCs w:val="22"/>
          <w:u w:val="single"/>
          <w:lang w:val="en-IN" w:eastAsia="en-IN" w:bidi="or-IN"/>
        </w:rPr>
        <w:t xml:space="preserve">Benefits of KVAH Billing </w:t>
      </w:r>
    </w:p>
    <w:p w:rsidR="005D264D" w:rsidRPr="00E93D6E" w:rsidRDefault="005D264D" w:rsidP="005D264D">
      <w:pPr>
        <w:spacing w:line="360" w:lineRule="auto"/>
        <w:ind w:left="360"/>
        <w:jc w:val="both"/>
        <w:rPr>
          <w:rFonts w:ascii="Arial" w:hAnsi="Arial" w:cs="Arial"/>
          <w:color w:val="222222"/>
          <w:sz w:val="22"/>
          <w:szCs w:val="22"/>
          <w:lang w:val="en-IN" w:eastAsia="en-IN" w:bidi="or-IN"/>
        </w:rPr>
      </w:pPr>
      <w:r w:rsidRPr="00E93D6E">
        <w:rPr>
          <w:rFonts w:ascii="Arial" w:hAnsi="Arial" w:cs="Arial"/>
          <w:color w:val="222222"/>
          <w:sz w:val="22"/>
          <w:szCs w:val="22"/>
          <w:lang w:val="en-IN" w:eastAsia="en-IN" w:bidi="or-IN"/>
        </w:rPr>
        <w:t xml:space="preserve">It is further submitted that, by adopting KVAH billing in place of KWh Billing the recent pattern of Power Factor penalty imposed on the consumers will be abolished. The objective of introduction of KVAh billing is to ensure reduction in  losses which occurs due to low power factor. The DISCOMs, therefore expect the consumers to have unity power factor. The objective of KVAh based billing is for encouraging the consumers to maintain their power  near to unity Power factor. </w:t>
      </w:r>
    </w:p>
    <w:p w:rsidR="005D264D" w:rsidRPr="00E93D6E" w:rsidRDefault="005D264D" w:rsidP="005D264D">
      <w:pPr>
        <w:spacing w:line="360" w:lineRule="auto"/>
        <w:ind w:left="360"/>
        <w:jc w:val="both"/>
        <w:rPr>
          <w:rFonts w:ascii="Arial" w:hAnsi="Arial" w:cs="Arial"/>
          <w:color w:val="222222"/>
          <w:sz w:val="22"/>
          <w:szCs w:val="22"/>
          <w:lang w:val="en-IN" w:eastAsia="en-IN" w:bidi="or-IN"/>
        </w:rPr>
      </w:pPr>
      <w:r w:rsidRPr="00E93D6E">
        <w:rPr>
          <w:rFonts w:ascii="Arial" w:hAnsi="Arial" w:cs="Arial"/>
          <w:color w:val="222222"/>
          <w:sz w:val="22"/>
          <w:szCs w:val="22"/>
          <w:lang w:val="en-IN" w:eastAsia="en-IN" w:bidi="or-IN"/>
        </w:rPr>
        <w:t xml:space="preserve">In the present tariff structure, the power factor penalty is limited to only large consumers having contract demand of more than 110 KVA while medium and other three phase consumers are exempted. DISCOMs request for introduction of KVAh based tariff for energy drawal for all the three phase industrial consumers availing power supply in LT and HT and for which presently no Power Factor Penalty is imposed in the tariff and all the three-phase meters are capable of reading KVAh component of energy.  </w:t>
      </w:r>
    </w:p>
    <w:p w:rsidR="005D264D" w:rsidRPr="00E93D6E" w:rsidRDefault="005D264D" w:rsidP="005D264D">
      <w:pPr>
        <w:spacing w:line="360" w:lineRule="auto"/>
        <w:ind w:left="360"/>
        <w:jc w:val="both"/>
        <w:rPr>
          <w:rFonts w:ascii="Arial" w:hAnsi="Arial" w:cs="Arial"/>
          <w:color w:val="222222"/>
          <w:sz w:val="22"/>
          <w:szCs w:val="22"/>
          <w:lang w:val="en-IN" w:eastAsia="en-IN" w:bidi="or-IN"/>
        </w:rPr>
      </w:pPr>
      <w:r w:rsidRPr="00E93D6E">
        <w:rPr>
          <w:rFonts w:ascii="Arial" w:hAnsi="Arial" w:cs="Arial"/>
          <w:color w:val="222222"/>
          <w:sz w:val="22"/>
          <w:szCs w:val="22"/>
          <w:lang w:val="en-IN" w:eastAsia="en-IN" w:bidi="or-IN"/>
        </w:rPr>
        <w:t>Since all three phase meters provided by the DISCOMs at the consumer premises are capable of reading KVAh Component directly and the billing system of DISCOMs also ready to accept such changes in the energy billing component, there will be no operational issues  after implementation of KVAH Billing . </w:t>
      </w:r>
    </w:p>
    <w:p w:rsidR="005D264D" w:rsidRPr="00E93D6E" w:rsidRDefault="005D264D" w:rsidP="005D264D">
      <w:pPr>
        <w:spacing w:line="360" w:lineRule="auto"/>
        <w:ind w:left="360"/>
        <w:jc w:val="both"/>
        <w:rPr>
          <w:rFonts w:ascii="Arial" w:hAnsi="Arial" w:cs="Arial"/>
          <w:color w:val="222222"/>
          <w:sz w:val="22"/>
          <w:szCs w:val="22"/>
          <w:lang w:val="en-IN" w:eastAsia="en-IN" w:bidi="or-IN"/>
        </w:rPr>
      </w:pPr>
      <w:r w:rsidRPr="00E93D6E">
        <w:rPr>
          <w:rFonts w:ascii="Arial" w:hAnsi="Arial" w:cs="Arial"/>
          <w:color w:val="222222"/>
          <w:sz w:val="22"/>
          <w:szCs w:val="22"/>
          <w:lang w:val="en-IN" w:eastAsia="en-IN" w:bidi="or-IN"/>
        </w:rPr>
        <w:t xml:space="preserve"> OERC Regulation 1 ( bb) specifies the definition of Meter as </w:t>
      </w:r>
    </w:p>
    <w:p w:rsidR="005D264D" w:rsidRPr="00E93D6E" w:rsidRDefault="005D264D" w:rsidP="005D264D">
      <w:pPr>
        <w:spacing w:line="360" w:lineRule="auto"/>
        <w:ind w:left="360"/>
        <w:jc w:val="both"/>
        <w:rPr>
          <w:rFonts w:ascii="Arial" w:hAnsi="Arial" w:cs="Arial"/>
          <w:i/>
          <w:color w:val="222222"/>
          <w:sz w:val="22"/>
          <w:szCs w:val="22"/>
          <w:lang w:val="en-IN" w:eastAsia="en-IN" w:bidi="or-IN"/>
        </w:rPr>
      </w:pPr>
      <w:r w:rsidRPr="00E93D6E">
        <w:rPr>
          <w:rFonts w:ascii="Arial" w:hAnsi="Arial" w:cs="Arial"/>
          <w:i/>
          <w:color w:val="222222"/>
          <w:sz w:val="22"/>
          <w:szCs w:val="22"/>
          <w:lang w:val="en-IN" w:eastAsia="en-IN" w:bidi="or-IN"/>
        </w:rPr>
        <w:t xml:space="preserve"> “ Meter : means an equipment used for measuring electrical quantities  like  energy in KWH or KVAH Maximum demand in KW or KVA , reactive energy in KVAR hours etc including accessories like CT &amp; PT where used in conjunction with such meter and any enclosure used for housing or fixing such meter or its accessories and any device testing purpose”  </w:t>
      </w:r>
    </w:p>
    <w:p w:rsidR="005D264D" w:rsidRPr="00E93D6E" w:rsidRDefault="005D264D" w:rsidP="005D264D">
      <w:pPr>
        <w:spacing w:line="360" w:lineRule="auto"/>
        <w:ind w:left="360"/>
        <w:jc w:val="both"/>
        <w:rPr>
          <w:rFonts w:ascii="Arial" w:hAnsi="Arial" w:cs="Arial"/>
          <w:color w:val="222222"/>
          <w:sz w:val="22"/>
          <w:szCs w:val="22"/>
          <w:lang w:val="en-IN" w:eastAsia="en-IN" w:bidi="or-IN"/>
        </w:rPr>
      </w:pPr>
      <w:r w:rsidRPr="00E93D6E">
        <w:rPr>
          <w:rFonts w:ascii="Arial" w:hAnsi="Arial" w:cs="Arial"/>
          <w:color w:val="222222"/>
          <w:sz w:val="22"/>
          <w:szCs w:val="22"/>
          <w:lang w:val="en-IN" w:eastAsia="en-IN" w:bidi="or-IN"/>
        </w:rPr>
        <w:t xml:space="preserve"> This supports for billing a consumer on the energy consumed on KVAH basis. </w:t>
      </w:r>
    </w:p>
    <w:p w:rsidR="005D264D" w:rsidRPr="00E93D6E" w:rsidRDefault="005D264D" w:rsidP="005D264D">
      <w:pPr>
        <w:spacing w:line="360" w:lineRule="auto"/>
        <w:ind w:left="360"/>
        <w:jc w:val="both"/>
        <w:rPr>
          <w:rFonts w:ascii="Arial" w:hAnsi="Arial" w:cs="Arial"/>
          <w:color w:val="222222"/>
          <w:sz w:val="22"/>
          <w:szCs w:val="22"/>
          <w:lang w:val="en-IN" w:eastAsia="en-IN" w:bidi="or-IN"/>
        </w:rPr>
      </w:pPr>
      <w:r w:rsidRPr="00E93D6E">
        <w:rPr>
          <w:rFonts w:ascii="Arial" w:hAnsi="Arial" w:cs="Arial"/>
          <w:color w:val="222222"/>
          <w:sz w:val="22"/>
          <w:szCs w:val="22"/>
          <w:lang w:val="en-IN" w:eastAsia="en-IN" w:bidi="or-IN"/>
        </w:rPr>
        <w:t xml:space="preserve">Therefore, the KVAh billing system is a win-win situation for DISCOMs as well as  Consumers . </w:t>
      </w:r>
    </w:p>
    <w:p w:rsidR="005D264D" w:rsidRPr="00E93D6E" w:rsidRDefault="005D264D" w:rsidP="005D264D">
      <w:pPr>
        <w:spacing w:line="360" w:lineRule="auto"/>
        <w:ind w:left="360"/>
        <w:jc w:val="both"/>
        <w:rPr>
          <w:rFonts w:ascii="Arial" w:hAnsi="Arial" w:cs="Arial"/>
          <w:color w:val="222222"/>
          <w:sz w:val="22"/>
          <w:szCs w:val="22"/>
          <w:lang w:val="en-IN" w:eastAsia="en-IN" w:bidi="or-IN"/>
        </w:rPr>
      </w:pPr>
      <w:r w:rsidRPr="00E93D6E">
        <w:rPr>
          <w:rFonts w:ascii="Arial" w:hAnsi="Arial" w:cs="Arial"/>
          <w:color w:val="222222"/>
          <w:sz w:val="22"/>
          <w:szCs w:val="22"/>
          <w:lang w:val="en-IN" w:eastAsia="en-IN" w:bidi="or-IN"/>
        </w:rPr>
        <w:t xml:space="preserve">With the above submissions, the Hon’ble Commission is requested to allow KVAh billing from ensuing FY 2015-16 . </w:t>
      </w:r>
    </w:p>
    <w:p w:rsidR="005D264D" w:rsidRPr="009C0665" w:rsidRDefault="005D264D" w:rsidP="005D264D">
      <w:pPr>
        <w:spacing w:line="360" w:lineRule="auto"/>
        <w:ind w:left="360"/>
        <w:jc w:val="both"/>
        <w:rPr>
          <w:rFonts w:cs="Arial"/>
          <w:color w:val="222222"/>
          <w:lang w:val="en-IN" w:eastAsia="en-IN" w:bidi="or-IN"/>
        </w:rPr>
      </w:pPr>
    </w:p>
    <w:p w:rsidR="005D264D" w:rsidRPr="00E93D6E" w:rsidRDefault="005D264D" w:rsidP="005D264D">
      <w:pPr>
        <w:spacing w:line="360" w:lineRule="auto"/>
        <w:ind w:left="360"/>
        <w:jc w:val="both"/>
        <w:rPr>
          <w:rFonts w:ascii="Arial" w:hAnsi="Arial" w:cs="Arial"/>
          <w:color w:val="222222"/>
          <w:sz w:val="22"/>
          <w:szCs w:val="22"/>
          <w:lang w:val="en-IN" w:eastAsia="en-IN" w:bidi="or-IN"/>
        </w:rPr>
      </w:pPr>
      <w:r w:rsidRPr="00E93D6E">
        <w:rPr>
          <w:rFonts w:ascii="Arial" w:hAnsi="Arial" w:cs="Arial"/>
          <w:color w:val="222222"/>
          <w:sz w:val="22"/>
          <w:szCs w:val="22"/>
          <w:lang w:val="en-IN" w:eastAsia="en-IN" w:bidi="or-IN"/>
        </w:rPr>
        <w:t>OR</w:t>
      </w:r>
    </w:p>
    <w:p w:rsidR="005D264D" w:rsidRPr="00E93D6E" w:rsidRDefault="005D264D" w:rsidP="005D264D">
      <w:pPr>
        <w:spacing w:line="360" w:lineRule="auto"/>
        <w:ind w:left="360"/>
        <w:jc w:val="both"/>
        <w:rPr>
          <w:rFonts w:ascii="Arial" w:hAnsi="Arial" w:cs="Arial"/>
          <w:sz w:val="22"/>
          <w:szCs w:val="22"/>
        </w:rPr>
      </w:pPr>
      <w:r w:rsidRPr="00E93D6E">
        <w:rPr>
          <w:rFonts w:ascii="Arial" w:hAnsi="Arial" w:cs="Arial"/>
          <w:sz w:val="22"/>
          <w:szCs w:val="22"/>
          <w:u w:val="single"/>
        </w:rPr>
        <w:t xml:space="preserve">Applicability of Power Factor Penalty to LT &amp; HT Category of Consumers above 20 KW </w:t>
      </w:r>
      <w:r w:rsidRPr="00E93D6E">
        <w:rPr>
          <w:rFonts w:ascii="Arial" w:hAnsi="Arial" w:cs="Arial"/>
          <w:sz w:val="22"/>
          <w:szCs w:val="22"/>
        </w:rPr>
        <w:t xml:space="preserve">: </w:t>
      </w:r>
    </w:p>
    <w:p w:rsidR="005D264D" w:rsidRPr="00E93D6E" w:rsidRDefault="005D264D" w:rsidP="005D264D">
      <w:pPr>
        <w:spacing w:line="360" w:lineRule="auto"/>
        <w:ind w:left="360"/>
        <w:jc w:val="both"/>
        <w:rPr>
          <w:rFonts w:ascii="Arial" w:hAnsi="Arial" w:cs="Arial"/>
          <w:sz w:val="22"/>
          <w:szCs w:val="22"/>
        </w:rPr>
      </w:pPr>
      <w:r w:rsidRPr="00E93D6E">
        <w:rPr>
          <w:rFonts w:ascii="Arial" w:hAnsi="Arial" w:cs="Arial"/>
          <w:sz w:val="22"/>
          <w:szCs w:val="22"/>
        </w:rPr>
        <w:t>Hon’ble Commission in its RST order for FY 2013-14 orders for continuance of the power factor penalty as a % of Monthly demand Charge of monthly Demand Charge and Energy Charges on the following HT &amp;  EHT consumers :</w:t>
      </w:r>
    </w:p>
    <w:p w:rsidR="005D264D" w:rsidRPr="00E93D6E" w:rsidRDefault="005D264D" w:rsidP="005D264D">
      <w:pPr>
        <w:spacing w:line="360" w:lineRule="auto"/>
        <w:ind w:left="360"/>
        <w:jc w:val="both"/>
        <w:rPr>
          <w:rFonts w:ascii="Arial" w:hAnsi="Arial" w:cs="Arial"/>
          <w:sz w:val="22"/>
          <w:szCs w:val="22"/>
        </w:rPr>
      </w:pPr>
      <w:r w:rsidRPr="00E93D6E">
        <w:rPr>
          <w:rFonts w:ascii="Arial" w:hAnsi="Arial" w:cs="Arial"/>
          <w:sz w:val="22"/>
          <w:szCs w:val="22"/>
        </w:rPr>
        <w:t xml:space="preserve">Large Industries </w:t>
      </w:r>
    </w:p>
    <w:p w:rsidR="005D264D" w:rsidRPr="00E93D6E" w:rsidRDefault="005D264D" w:rsidP="005D264D">
      <w:pPr>
        <w:spacing w:line="360" w:lineRule="auto"/>
        <w:ind w:left="360"/>
        <w:jc w:val="both"/>
        <w:rPr>
          <w:rFonts w:ascii="Arial" w:hAnsi="Arial" w:cs="Arial"/>
          <w:sz w:val="22"/>
          <w:szCs w:val="22"/>
        </w:rPr>
      </w:pPr>
      <w:r w:rsidRPr="00E93D6E">
        <w:rPr>
          <w:rFonts w:ascii="Arial" w:hAnsi="Arial" w:cs="Arial"/>
          <w:sz w:val="22"/>
          <w:szCs w:val="22"/>
        </w:rPr>
        <w:t>Public Water Works ( 110 KVA and Above)</w:t>
      </w:r>
    </w:p>
    <w:p w:rsidR="005D264D" w:rsidRPr="00E93D6E" w:rsidRDefault="005D264D" w:rsidP="005D264D">
      <w:pPr>
        <w:spacing w:line="360" w:lineRule="auto"/>
        <w:ind w:left="360"/>
        <w:jc w:val="both"/>
        <w:rPr>
          <w:rFonts w:ascii="Arial" w:hAnsi="Arial" w:cs="Arial"/>
          <w:sz w:val="22"/>
          <w:szCs w:val="22"/>
        </w:rPr>
      </w:pPr>
      <w:r w:rsidRPr="00E93D6E">
        <w:rPr>
          <w:rFonts w:ascii="Arial" w:hAnsi="Arial" w:cs="Arial"/>
          <w:sz w:val="22"/>
          <w:szCs w:val="22"/>
        </w:rPr>
        <w:t xml:space="preserve">Railway Traction </w:t>
      </w:r>
    </w:p>
    <w:p w:rsidR="005D264D" w:rsidRPr="00E93D6E" w:rsidRDefault="005D264D" w:rsidP="005D264D">
      <w:pPr>
        <w:spacing w:line="360" w:lineRule="auto"/>
        <w:ind w:left="360"/>
        <w:jc w:val="both"/>
        <w:rPr>
          <w:rFonts w:ascii="Arial" w:hAnsi="Arial" w:cs="Arial"/>
          <w:sz w:val="22"/>
          <w:szCs w:val="22"/>
        </w:rPr>
      </w:pPr>
      <w:r w:rsidRPr="00E93D6E">
        <w:rPr>
          <w:rFonts w:ascii="Arial" w:hAnsi="Arial" w:cs="Arial"/>
          <w:sz w:val="22"/>
          <w:szCs w:val="22"/>
        </w:rPr>
        <w:t xml:space="preserve">Power Intensive Industries </w:t>
      </w:r>
    </w:p>
    <w:p w:rsidR="005D264D" w:rsidRPr="00E93D6E" w:rsidRDefault="005D264D" w:rsidP="005D264D">
      <w:pPr>
        <w:spacing w:line="360" w:lineRule="auto"/>
        <w:ind w:left="360"/>
        <w:jc w:val="both"/>
        <w:rPr>
          <w:rFonts w:ascii="Arial" w:hAnsi="Arial" w:cs="Arial"/>
          <w:sz w:val="22"/>
          <w:szCs w:val="22"/>
        </w:rPr>
      </w:pPr>
      <w:r w:rsidRPr="00E93D6E">
        <w:rPr>
          <w:rFonts w:ascii="Arial" w:hAnsi="Arial" w:cs="Arial"/>
          <w:sz w:val="22"/>
          <w:szCs w:val="22"/>
        </w:rPr>
        <w:t xml:space="preserve">Heavy Industries </w:t>
      </w:r>
    </w:p>
    <w:p w:rsidR="005D264D" w:rsidRPr="00E93D6E" w:rsidRDefault="005D264D" w:rsidP="005D264D">
      <w:pPr>
        <w:spacing w:line="360" w:lineRule="auto"/>
        <w:ind w:left="360"/>
        <w:jc w:val="both"/>
        <w:rPr>
          <w:rFonts w:ascii="Arial" w:hAnsi="Arial" w:cs="Arial"/>
          <w:sz w:val="22"/>
          <w:szCs w:val="22"/>
        </w:rPr>
      </w:pPr>
      <w:r w:rsidRPr="00E93D6E">
        <w:rPr>
          <w:rFonts w:ascii="Arial" w:hAnsi="Arial" w:cs="Arial"/>
          <w:sz w:val="22"/>
          <w:szCs w:val="22"/>
        </w:rPr>
        <w:t xml:space="preserve">General Purpose Supply </w:t>
      </w:r>
    </w:p>
    <w:p w:rsidR="005D264D" w:rsidRPr="00E93D6E" w:rsidRDefault="005D264D" w:rsidP="005D264D">
      <w:pPr>
        <w:spacing w:line="360" w:lineRule="auto"/>
        <w:ind w:left="360"/>
        <w:jc w:val="both"/>
        <w:rPr>
          <w:rFonts w:ascii="Arial" w:hAnsi="Arial" w:cs="Arial"/>
          <w:sz w:val="22"/>
          <w:szCs w:val="22"/>
        </w:rPr>
      </w:pPr>
      <w:r w:rsidRPr="00E93D6E">
        <w:rPr>
          <w:rFonts w:ascii="Arial" w:hAnsi="Arial" w:cs="Arial"/>
          <w:sz w:val="22"/>
          <w:szCs w:val="22"/>
        </w:rPr>
        <w:t>Specific Public Purpose ( 110 KVA and above)</w:t>
      </w:r>
    </w:p>
    <w:p w:rsidR="005D264D" w:rsidRPr="00E93D6E" w:rsidRDefault="005D264D" w:rsidP="005D264D">
      <w:pPr>
        <w:spacing w:line="360" w:lineRule="auto"/>
        <w:ind w:left="360"/>
        <w:jc w:val="both"/>
        <w:rPr>
          <w:rFonts w:ascii="Arial" w:hAnsi="Arial" w:cs="Arial"/>
          <w:sz w:val="22"/>
          <w:szCs w:val="22"/>
        </w:rPr>
      </w:pPr>
      <w:r w:rsidRPr="00E93D6E">
        <w:rPr>
          <w:rFonts w:ascii="Arial" w:hAnsi="Arial" w:cs="Arial"/>
          <w:sz w:val="22"/>
          <w:szCs w:val="22"/>
        </w:rPr>
        <w:t>Mini Steel Plant.</w:t>
      </w:r>
    </w:p>
    <w:p w:rsidR="005D264D" w:rsidRPr="00E93D6E" w:rsidRDefault="005D264D" w:rsidP="005D264D">
      <w:pPr>
        <w:spacing w:line="360" w:lineRule="auto"/>
        <w:ind w:left="360"/>
        <w:jc w:val="both"/>
        <w:rPr>
          <w:rFonts w:ascii="Arial" w:hAnsi="Arial" w:cs="Arial"/>
          <w:sz w:val="22"/>
          <w:szCs w:val="22"/>
        </w:rPr>
      </w:pPr>
      <w:r w:rsidRPr="00E93D6E">
        <w:rPr>
          <w:rFonts w:ascii="Arial" w:hAnsi="Arial" w:cs="Arial"/>
          <w:sz w:val="22"/>
          <w:szCs w:val="22"/>
        </w:rPr>
        <w:t>Emergency Power Supply to CGP.</w:t>
      </w:r>
    </w:p>
    <w:p w:rsidR="005D264D" w:rsidRPr="00E93D6E" w:rsidRDefault="005D264D" w:rsidP="005D264D">
      <w:pPr>
        <w:spacing w:line="360" w:lineRule="auto"/>
        <w:ind w:left="360"/>
        <w:jc w:val="both"/>
        <w:rPr>
          <w:rFonts w:ascii="Arial" w:hAnsi="Arial" w:cs="Arial"/>
          <w:sz w:val="22"/>
          <w:szCs w:val="22"/>
        </w:rPr>
      </w:pPr>
    </w:p>
    <w:p w:rsidR="005D264D" w:rsidRPr="00E93D6E" w:rsidRDefault="005D264D" w:rsidP="005D264D">
      <w:pPr>
        <w:spacing w:line="360" w:lineRule="auto"/>
        <w:ind w:left="360"/>
        <w:jc w:val="both"/>
        <w:rPr>
          <w:rFonts w:ascii="Arial" w:hAnsi="Arial" w:cs="Arial"/>
          <w:sz w:val="22"/>
          <w:szCs w:val="22"/>
        </w:rPr>
      </w:pPr>
      <w:r w:rsidRPr="00E93D6E">
        <w:rPr>
          <w:rFonts w:ascii="Arial" w:hAnsi="Arial" w:cs="Arial"/>
          <w:sz w:val="22"/>
          <w:szCs w:val="22"/>
        </w:rPr>
        <w:t xml:space="preserve">If the above proposal of DISCOMs are not considered by the Hon’ble Commission for implementation due to any reason DISCOMs pray  for applicability of Power Factor Penalty  for the following category of Consumers  in order to bring more efficiency in Power System Operation till the KVAH billing is made applicable. </w:t>
      </w:r>
    </w:p>
    <w:p w:rsidR="005D264D" w:rsidRPr="00E93D6E" w:rsidRDefault="005D264D" w:rsidP="005D264D">
      <w:pPr>
        <w:spacing w:line="360" w:lineRule="auto"/>
        <w:ind w:left="360"/>
        <w:jc w:val="both"/>
        <w:rPr>
          <w:rFonts w:ascii="Arial" w:hAnsi="Arial" w:cs="Arial"/>
          <w:sz w:val="22"/>
          <w:szCs w:val="22"/>
        </w:rPr>
      </w:pPr>
    </w:p>
    <w:p w:rsidR="005D264D" w:rsidRPr="00E93D6E" w:rsidRDefault="005D264D" w:rsidP="005D264D">
      <w:pPr>
        <w:spacing w:line="360" w:lineRule="auto"/>
        <w:ind w:left="360"/>
        <w:jc w:val="both"/>
        <w:rPr>
          <w:rFonts w:ascii="Arial" w:hAnsi="Arial" w:cs="Arial"/>
          <w:sz w:val="22"/>
          <w:szCs w:val="22"/>
        </w:rPr>
      </w:pPr>
      <w:r w:rsidRPr="00E93D6E">
        <w:rPr>
          <w:rFonts w:ascii="Arial" w:hAnsi="Arial" w:cs="Arial"/>
          <w:sz w:val="22"/>
          <w:szCs w:val="22"/>
        </w:rPr>
        <w:t xml:space="preserve">HT Category </w:t>
      </w:r>
    </w:p>
    <w:p w:rsidR="005D264D" w:rsidRPr="00E93D6E" w:rsidRDefault="005D264D" w:rsidP="005D264D">
      <w:pPr>
        <w:spacing w:line="360" w:lineRule="auto"/>
        <w:ind w:left="360"/>
        <w:jc w:val="both"/>
        <w:rPr>
          <w:rFonts w:ascii="Arial" w:hAnsi="Arial" w:cs="Arial"/>
          <w:sz w:val="22"/>
          <w:szCs w:val="22"/>
        </w:rPr>
      </w:pPr>
      <w:r w:rsidRPr="00E93D6E">
        <w:rPr>
          <w:rFonts w:ascii="Arial" w:hAnsi="Arial" w:cs="Arial"/>
          <w:sz w:val="22"/>
          <w:szCs w:val="22"/>
        </w:rPr>
        <w:t xml:space="preserve">Specified Public Purpose </w:t>
      </w:r>
    </w:p>
    <w:p w:rsidR="005D264D" w:rsidRPr="00E93D6E" w:rsidRDefault="005D264D" w:rsidP="005D264D">
      <w:pPr>
        <w:spacing w:line="360" w:lineRule="auto"/>
        <w:ind w:left="360"/>
        <w:jc w:val="both"/>
        <w:rPr>
          <w:rFonts w:ascii="Arial" w:hAnsi="Arial" w:cs="Arial"/>
          <w:sz w:val="22"/>
          <w:szCs w:val="22"/>
        </w:rPr>
      </w:pPr>
      <w:r w:rsidRPr="00E93D6E">
        <w:rPr>
          <w:rFonts w:ascii="Arial" w:hAnsi="Arial" w:cs="Arial"/>
          <w:sz w:val="22"/>
          <w:szCs w:val="22"/>
        </w:rPr>
        <w:t>General Purpose &lt; 110 KVA</w:t>
      </w:r>
    </w:p>
    <w:p w:rsidR="005D264D" w:rsidRPr="00E93D6E" w:rsidRDefault="005D264D" w:rsidP="005D264D">
      <w:pPr>
        <w:spacing w:line="360" w:lineRule="auto"/>
        <w:ind w:left="360"/>
        <w:jc w:val="both"/>
        <w:rPr>
          <w:rFonts w:ascii="Arial" w:hAnsi="Arial" w:cs="Arial"/>
          <w:sz w:val="22"/>
          <w:szCs w:val="22"/>
        </w:rPr>
      </w:pPr>
      <w:r w:rsidRPr="00E93D6E">
        <w:rPr>
          <w:rFonts w:ascii="Arial" w:hAnsi="Arial" w:cs="Arial"/>
          <w:sz w:val="22"/>
          <w:szCs w:val="22"/>
        </w:rPr>
        <w:t>HT Industries ( M) Supply</w:t>
      </w:r>
    </w:p>
    <w:p w:rsidR="005D264D" w:rsidRPr="00E93D6E" w:rsidRDefault="005D264D" w:rsidP="005D264D">
      <w:pPr>
        <w:spacing w:line="360" w:lineRule="auto"/>
        <w:ind w:left="360"/>
        <w:jc w:val="both"/>
        <w:rPr>
          <w:rFonts w:ascii="Arial" w:hAnsi="Arial" w:cs="Arial"/>
          <w:sz w:val="22"/>
          <w:szCs w:val="22"/>
        </w:rPr>
      </w:pPr>
    </w:p>
    <w:p w:rsidR="005D264D" w:rsidRPr="00E93D6E" w:rsidRDefault="005D264D" w:rsidP="005D264D">
      <w:pPr>
        <w:spacing w:line="360" w:lineRule="auto"/>
        <w:ind w:left="360"/>
        <w:jc w:val="both"/>
        <w:rPr>
          <w:rFonts w:ascii="Arial" w:hAnsi="Arial" w:cs="Arial"/>
          <w:sz w:val="22"/>
          <w:szCs w:val="22"/>
        </w:rPr>
      </w:pPr>
      <w:r w:rsidRPr="00E93D6E">
        <w:rPr>
          <w:rFonts w:ascii="Arial" w:hAnsi="Arial" w:cs="Arial"/>
          <w:sz w:val="22"/>
          <w:szCs w:val="22"/>
        </w:rPr>
        <w:t xml:space="preserve">LT Category </w:t>
      </w:r>
    </w:p>
    <w:p w:rsidR="005D264D" w:rsidRPr="00E93D6E" w:rsidRDefault="005D264D" w:rsidP="005D264D">
      <w:pPr>
        <w:spacing w:line="360" w:lineRule="auto"/>
        <w:ind w:left="360"/>
        <w:jc w:val="both"/>
        <w:rPr>
          <w:rFonts w:ascii="Arial" w:hAnsi="Arial" w:cs="Arial"/>
          <w:sz w:val="22"/>
          <w:szCs w:val="22"/>
        </w:rPr>
      </w:pPr>
      <w:r w:rsidRPr="00E93D6E">
        <w:rPr>
          <w:rFonts w:ascii="Arial" w:hAnsi="Arial" w:cs="Arial"/>
          <w:sz w:val="22"/>
          <w:szCs w:val="22"/>
        </w:rPr>
        <w:t>LT industries Medium Supply</w:t>
      </w:r>
    </w:p>
    <w:p w:rsidR="005D264D" w:rsidRPr="00E93D6E" w:rsidRDefault="005D264D" w:rsidP="005D264D">
      <w:pPr>
        <w:spacing w:line="360" w:lineRule="auto"/>
        <w:ind w:left="360"/>
        <w:jc w:val="both"/>
        <w:rPr>
          <w:rFonts w:ascii="Arial" w:hAnsi="Arial" w:cs="Arial"/>
          <w:sz w:val="22"/>
          <w:szCs w:val="22"/>
        </w:rPr>
      </w:pPr>
      <w:r w:rsidRPr="00E93D6E">
        <w:rPr>
          <w:rFonts w:ascii="Arial" w:hAnsi="Arial" w:cs="Arial"/>
          <w:sz w:val="22"/>
          <w:szCs w:val="22"/>
        </w:rPr>
        <w:t>Public Water Works and Swerage Pumping &gt; 22 KVA</w:t>
      </w:r>
    </w:p>
    <w:p w:rsidR="005D264D" w:rsidRPr="009C0665" w:rsidRDefault="005D264D" w:rsidP="005D264D">
      <w:pPr>
        <w:ind w:left="360"/>
        <w:jc w:val="both"/>
        <w:rPr>
          <w:rFonts w:ascii="Cambria" w:hAnsi="Cambria"/>
          <w:i/>
          <w:sz w:val="22"/>
          <w:szCs w:val="22"/>
        </w:rPr>
      </w:pPr>
    </w:p>
    <w:p w:rsidR="009E0A9B" w:rsidRPr="00BF0E9D" w:rsidRDefault="009E0A9B" w:rsidP="00CF66A5">
      <w:pPr>
        <w:pStyle w:val="Heading1"/>
        <w:numPr>
          <w:ilvl w:val="1"/>
          <w:numId w:val="49"/>
        </w:numPr>
        <w:spacing w:line="360" w:lineRule="auto"/>
        <w:jc w:val="both"/>
        <w:rPr>
          <w:rFonts w:ascii="Cambria" w:hAnsi="Cambria"/>
          <w:sz w:val="24"/>
          <w:szCs w:val="24"/>
        </w:rPr>
      </w:pPr>
      <w:bookmarkStart w:id="112" w:name="_Toc404940208"/>
      <w:r w:rsidRPr="00BF0E9D">
        <w:rPr>
          <w:rFonts w:ascii="Cambria" w:hAnsi="Cambria"/>
          <w:sz w:val="24"/>
          <w:szCs w:val="24"/>
        </w:rPr>
        <w:t>Applicability of Power Factor Penalty :</w:t>
      </w:r>
      <w:bookmarkEnd w:id="112"/>
    </w:p>
    <w:p w:rsidR="009E0A9B" w:rsidRPr="00E93D6E" w:rsidRDefault="00FB208C" w:rsidP="00B91F1C">
      <w:pPr>
        <w:pStyle w:val="BodyText2"/>
        <w:spacing w:line="360" w:lineRule="auto"/>
        <w:jc w:val="both"/>
        <w:rPr>
          <w:rFonts w:cs="Arial"/>
          <w:sz w:val="22"/>
          <w:szCs w:val="22"/>
        </w:rPr>
      </w:pPr>
      <w:r w:rsidRPr="00E93D6E">
        <w:rPr>
          <w:rFonts w:cs="Arial"/>
          <w:sz w:val="22"/>
          <w:szCs w:val="22"/>
        </w:rPr>
        <w:t>Hon’ble Commission in its RST order for FY 201</w:t>
      </w:r>
      <w:r w:rsidR="00187407" w:rsidRPr="00E93D6E">
        <w:rPr>
          <w:rFonts w:cs="Arial"/>
          <w:sz w:val="22"/>
          <w:szCs w:val="22"/>
        </w:rPr>
        <w:t>4</w:t>
      </w:r>
      <w:r w:rsidRPr="00E93D6E">
        <w:rPr>
          <w:rFonts w:cs="Arial"/>
          <w:sz w:val="22"/>
          <w:szCs w:val="22"/>
        </w:rPr>
        <w:t>-1</w:t>
      </w:r>
      <w:r w:rsidR="00187407" w:rsidRPr="00E93D6E">
        <w:rPr>
          <w:rFonts w:cs="Arial"/>
          <w:sz w:val="22"/>
          <w:szCs w:val="22"/>
        </w:rPr>
        <w:t>5</w:t>
      </w:r>
      <w:r w:rsidRPr="00E93D6E">
        <w:rPr>
          <w:rFonts w:cs="Arial"/>
          <w:sz w:val="22"/>
          <w:szCs w:val="22"/>
        </w:rPr>
        <w:t xml:space="preserve"> orders for continuance of the power factor penalty as a </w:t>
      </w:r>
      <w:r w:rsidRPr="00E93D6E">
        <w:rPr>
          <w:rFonts w:cs="Arial"/>
          <w:sz w:val="22"/>
          <w:szCs w:val="22"/>
          <w:lang w:val="en-GB"/>
        </w:rPr>
        <w:t>percentage</w:t>
      </w:r>
      <w:r w:rsidRPr="00E93D6E">
        <w:rPr>
          <w:rFonts w:cs="Arial"/>
          <w:sz w:val="22"/>
          <w:szCs w:val="22"/>
        </w:rPr>
        <w:t xml:space="preserve"> (%) of Monthly demand Charge of monthly Demand Charge and Energy Charges on the following HT &amp;  EHT consumers :</w:t>
      </w:r>
    </w:p>
    <w:p w:rsidR="009E0A9B" w:rsidRPr="00E93D6E" w:rsidRDefault="00FB208C" w:rsidP="00B04A3F">
      <w:pPr>
        <w:numPr>
          <w:ilvl w:val="0"/>
          <w:numId w:val="11"/>
        </w:numPr>
        <w:autoSpaceDE w:val="0"/>
        <w:autoSpaceDN w:val="0"/>
        <w:adjustRightInd w:val="0"/>
        <w:spacing w:after="100" w:afterAutospacing="1" w:line="360" w:lineRule="auto"/>
        <w:ind w:left="1886" w:hanging="360"/>
        <w:rPr>
          <w:rFonts w:ascii="Arial" w:hAnsi="Arial" w:cs="Arial"/>
          <w:sz w:val="22"/>
          <w:szCs w:val="22"/>
        </w:rPr>
      </w:pPr>
      <w:r w:rsidRPr="00E93D6E">
        <w:rPr>
          <w:rFonts w:ascii="Arial" w:hAnsi="Arial" w:cs="Arial"/>
          <w:sz w:val="22"/>
          <w:szCs w:val="22"/>
        </w:rPr>
        <w:t xml:space="preserve">Large Industries </w:t>
      </w:r>
    </w:p>
    <w:p w:rsidR="009E0A9B" w:rsidRPr="00E93D6E" w:rsidRDefault="00FB208C" w:rsidP="00B04A3F">
      <w:pPr>
        <w:numPr>
          <w:ilvl w:val="0"/>
          <w:numId w:val="11"/>
        </w:numPr>
        <w:autoSpaceDE w:val="0"/>
        <w:autoSpaceDN w:val="0"/>
        <w:adjustRightInd w:val="0"/>
        <w:spacing w:after="100" w:afterAutospacing="1" w:line="360" w:lineRule="auto"/>
        <w:ind w:left="1886" w:hanging="360"/>
        <w:rPr>
          <w:rFonts w:ascii="Arial" w:hAnsi="Arial" w:cs="Arial"/>
          <w:sz w:val="22"/>
          <w:szCs w:val="22"/>
        </w:rPr>
      </w:pPr>
      <w:r w:rsidRPr="00E93D6E">
        <w:rPr>
          <w:rFonts w:ascii="Arial" w:hAnsi="Arial" w:cs="Arial"/>
          <w:sz w:val="22"/>
          <w:szCs w:val="22"/>
        </w:rPr>
        <w:lastRenderedPageBreak/>
        <w:t>Public Water Works ( 110 KVA and Above)</w:t>
      </w:r>
    </w:p>
    <w:p w:rsidR="009E0A9B" w:rsidRPr="00E93D6E" w:rsidRDefault="00FB208C" w:rsidP="00B04A3F">
      <w:pPr>
        <w:numPr>
          <w:ilvl w:val="0"/>
          <w:numId w:val="11"/>
        </w:numPr>
        <w:autoSpaceDE w:val="0"/>
        <w:autoSpaceDN w:val="0"/>
        <w:adjustRightInd w:val="0"/>
        <w:spacing w:after="100" w:afterAutospacing="1" w:line="360" w:lineRule="auto"/>
        <w:ind w:left="1886" w:hanging="360"/>
        <w:rPr>
          <w:rFonts w:ascii="Arial" w:hAnsi="Arial" w:cs="Arial"/>
          <w:sz w:val="22"/>
          <w:szCs w:val="22"/>
        </w:rPr>
      </w:pPr>
      <w:r w:rsidRPr="00E93D6E">
        <w:rPr>
          <w:rFonts w:ascii="Arial" w:hAnsi="Arial" w:cs="Arial"/>
          <w:sz w:val="22"/>
          <w:szCs w:val="22"/>
        </w:rPr>
        <w:t xml:space="preserve">Railway Traction </w:t>
      </w:r>
    </w:p>
    <w:p w:rsidR="009E0A9B" w:rsidRPr="00E93D6E" w:rsidRDefault="00FB208C" w:rsidP="00B04A3F">
      <w:pPr>
        <w:numPr>
          <w:ilvl w:val="0"/>
          <w:numId w:val="11"/>
        </w:numPr>
        <w:autoSpaceDE w:val="0"/>
        <w:autoSpaceDN w:val="0"/>
        <w:adjustRightInd w:val="0"/>
        <w:spacing w:after="100" w:afterAutospacing="1" w:line="360" w:lineRule="auto"/>
        <w:ind w:left="1886" w:hanging="360"/>
        <w:rPr>
          <w:rFonts w:ascii="Arial" w:hAnsi="Arial" w:cs="Arial"/>
          <w:sz w:val="22"/>
          <w:szCs w:val="22"/>
        </w:rPr>
      </w:pPr>
      <w:r w:rsidRPr="00E93D6E">
        <w:rPr>
          <w:rFonts w:ascii="Arial" w:hAnsi="Arial" w:cs="Arial"/>
          <w:sz w:val="22"/>
          <w:szCs w:val="22"/>
        </w:rPr>
        <w:t xml:space="preserve">Power Intensive Industries </w:t>
      </w:r>
    </w:p>
    <w:p w:rsidR="009E0A9B" w:rsidRPr="00E93D6E" w:rsidRDefault="00FB208C" w:rsidP="00B04A3F">
      <w:pPr>
        <w:numPr>
          <w:ilvl w:val="0"/>
          <w:numId w:val="11"/>
        </w:numPr>
        <w:autoSpaceDE w:val="0"/>
        <w:autoSpaceDN w:val="0"/>
        <w:adjustRightInd w:val="0"/>
        <w:spacing w:after="100" w:afterAutospacing="1" w:line="360" w:lineRule="auto"/>
        <w:ind w:left="1886" w:hanging="360"/>
        <w:rPr>
          <w:rFonts w:ascii="Arial" w:hAnsi="Arial" w:cs="Arial"/>
          <w:sz w:val="22"/>
          <w:szCs w:val="22"/>
        </w:rPr>
      </w:pPr>
      <w:r w:rsidRPr="00E93D6E">
        <w:rPr>
          <w:rFonts w:ascii="Arial" w:hAnsi="Arial" w:cs="Arial"/>
          <w:sz w:val="22"/>
          <w:szCs w:val="22"/>
        </w:rPr>
        <w:t xml:space="preserve">Heavy Industries </w:t>
      </w:r>
    </w:p>
    <w:p w:rsidR="009E0A9B" w:rsidRPr="00E93D6E" w:rsidRDefault="00FB208C" w:rsidP="00B04A3F">
      <w:pPr>
        <w:numPr>
          <w:ilvl w:val="0"/>
          <w:numId w:val="11"/>
        </w:numPr>
        <w:autoSpaceDE w:val="0"/>
        <w:autoSpaceDN w:val="0"/>
        <w:adjustRightInd w:val="0"/>
        <w:spacing w:after="100" w:afterAutospacing="1" w:line="360" w:lineRule="auto"/>
        <w:ind w:left="1886" w:hanging="360"/>
        <w:rPr>
          <w:rFonts w:ascii="Arial" w:hAnsi="Arial" w:cs="Arial"/>
          <w:sz w:val="22"/>
          <w:szCs w:val="22"/>
        </w:rPr>
      </w:pPr>
      <w:r w:rsidRPr="00E93D6E">
        <w:rPr>
          <w:rFonts w:ascii="Arial" w:hAnsi="Arial" w:cs="Arial"/>
          <w:sz w:val="22"/>
          <w:szCs w:val="22"/>
        </w:rPr>
        <w:t xml:space="preserve">General Purpose Supply </w:t>
      </w:r>
    </w:p>
    <w:p w:rsidR="009E0A9B" w:rsidRPr="00E93D6E" w:rsidRDefault="00FB208C" w:rsidP="00B04A3F">
      <w:pPr>
        <w:numPr>
          <w:ilvl w:val="0"/>
          <w:numId w:val="11"/>
        </w:numPr>
        <w:autoSpaceDE w:val="0"/>
        <w:autoSpaceDN w:val="0"/>
        <w:adjustRightInd w:val="0"/>
        <w:spacing w:after="100" w:afterAutospacing="1" w:line="360" w:lineRule="auto"/>
        <w:ind w:left="1886" w:hanging="360"/>
        <w:rPr>
          <w:rFonts w:ascii="Arial" w:hAnsi="Arial" w:cs="Arial"/>
          <w:sz w:val="22"/>
          <w:szCs w:val="22"/>
        </w:rPr>
      </w:pPr>
      <w:r w:rsidRPr="00E93D6E">
        <w:rPr>
          <w:rFonts w:ascii="Arial" w:hAnsi="Arial" w:cs="Arial"/>
          <w:sz w:val="22"/>
          <w:szCs w:val="22"/>
        </w:rPr>
        <w:t>Specific Public Purpose ( 110 KVA and above)</w:t>
      </w:r>
    </w:p>
    <w:p w:rsidR="009E0A9B" w:rsidRPr="00E93D6E" w:rsidRDefault="00FB208C" w:rsidP="00B04A3F">
      <w:pPr>
        <w:numPr>
          <w:ilvl w:val="0"/>
          <w:numId w:val="11"/>
        </w:numPr>
        <w:autoSpaceDE w:val="0"/>
        <w:autoSpaceDN w:val="0"/>
        <w:adjustRightInd w:val="0"/>
        <w:spacing w:after="100" w:afterAutospacing="1" w:line="360" w:lineRule="auto"/>
        <w:ind w:left="1886" w:hanging="360"/>
        <w:rPr>
          <w:rFonts w:ascii="Arial" w:hAnsi="Arial" w:cs="Arial"/>
          <w:sz w:val="22"/>
          <w:szCs w:val="22"/>
        </w:rPr>
      </w:pPr>
      <w:r w:rsidRPr="00E93D6E">
        <w:rPr>
          <w:rFonts w:ascii="Arial" w:hAnsi="Arial" w:cs="Arial"/>
          <w:sz w:val="22"/>
          <w:szCs w:val="22"/>
        </w:rPr>
        <w:t>Mini Steel Plant.</w:t>
      </w:r>
    </w:p>
    <w:p w:rsidR="009E0A9B" w:rsidRPr="00E93D6E" w:rsidRDefault="00FB208C" w:rsidP="00B04A3F">
      <w:pPr>
        <w:numPr>
          <w:ilvl w:val="0"/>
          <w:numId w:val="11"/>
        </w:numPr>
        <w:autoSpaceDE w:val="0"/>
        <w:autoSpaceDN w:val="0"/>
        <w:adjustRightInd w:val="0"/>
        <w:spacing w:after="100" w:afterAutospacing="1" w:line="360" w:lineRule="auto"/>
        <w:ind w:left="1886" w:hanging="360"/>
        <w:rPr>
          <w:rFonts w:ascii="Arial" w:hAnsi="Arial" w:cs="Arial"/>
          <w:sz w:val="22"/>
          <w:szCs w:val="22"/>
        </w:rPr>
      </w:pPr>
      <w:r w:rsidRPr="00E93D6E">
        <w:rPr>
          <w:rFonts w:ascii="Arial" w:hAnsi="Arial" w:cs="Arial"/>
          <w:sz w:val="22"/>
          <w:szCs w:val="22"/>
        </w:rPr>
        <w:t>Emergency Power Supply to CGP.</w:t>
      </w:r>
    </w:p>
    <w:p w:rsidR="009E0A9B" w:rsidRPr="00E93D6E" w:rsidRDefault="00FB208C" w:rsidP="00B91F1C">
      <w:pPr>
        <w:autoSpaceDE w:val="0"/>
        <w:autoSpaceDN w:val="0"/>
        <w:adjustRightInd w:val="0"/>
        <w:spacing w:after="200" w:line="360" w:lineRule="auto"/>
        <w:ind w:left="360"/>
        <w:jc w:val="both"/>
        <w:rPr>
          <w:rFonts w:ascii="Arial" w:hAnsi="Arial" w:cs="Arial"/>
          <w:b/>
          <w:sz w:val="22"/>
          <w:szCs w:val="22"/>
        </w:rPr>
      </w:pPr>
      <w:r w:rsidRPr="00E93D6E">
        <w:rPr>
          <w:rFonts w:ascii="Arial" w:hAnsi="Arial" w:cs="Arial"/>
          <w:b/>
          <w:sz w:val="22"/>
          <w:szCs w:val="22"/>
        </w:rPr>
        <w:t>Till such time KVAH billing approach is adopted the licensee proposes for applicability of Power Factor Penalty and Incentive for the following category of Consumers  in order to bring more efficiency in Power System Operation .</w:t>
      </w:r>
    </w:p>
    <w:p w:rsidR="009E0A9B" w:rsidRPr="00E93D6E" w:rsidRDefault="00FB208C" w:rsidP="00B91F1C">
      <w:pPr>
        <w:autoSpaceDE w:val="0"/>
        <w:autoSpaceDN w:val="0"/>
        <w:adjustRightInd w:val="0"/>
        <w:spacing w:after="200" w:line="360" w:lineRule="auto"/>
        <w:ind w:left="360"/>
        <w:rPr>
          <w:rFonts w:ascii="Arial" w:hAnsi="Arial" w:cs="Arial"/>
          <w:sz w:val="22"/>
          <w:szCs w:val="22"/>
        </w:rPr>
      </w:pPr>
      <w:r w:rsidRPr="00E93D6E">
        <w:rPr>
          <w:rFonts w:ascii="Arial" w:hAnsi="Arial" w:cs="Arial"/>
          <w:sz w:val="22"/>
          <w:szCs w:val="22"/>
        </w:rPr>
        <w:t xml:space="preserve">LT Category </w:t>
      </w:r>
    </w:p>
    <w:p w:rsidR="009E0A9B" w:rsidRPr="00E93D6E" w:rsidRDefault="00FB208C" w:rsidP="00B04A3F">
      <w:pPr>
        <w:numPr>
          <w:ilvl w:val="0"/>
          <w:numId w:val="11"/>
        </w:numPr>
        <w:autoSpaceDE w:val="0"/>
        <w:autoSpaceDN w:val="0"/>
        <w:adjustRightInd w:val="0"/>
        <w:spacing w:after="100" w:afterAutospacing="1" w:line="360" w:lineRule="auto"/>
        <w:ind w:left="1080" w:hanging="720"/>
        <w:rPr>
          <w:rFonts w:ascii="Arial" w:hAnsi="Arial" w:cs="Arial"/>
          <w:sz w:val="22"/>
          <w:szCs w:val="22"/>
        </w:rPr>
      </w:pPr>
      <w:r w:rsidRPr="00E93D6E">
        <w:rPr>
          <w:rFonts w:ascii="Arial" w:hAnsi="Arial" w:cs="Arial"/>
          <w:sz w:val="22"/>
          <w:szCs w:val="22"/>
        </w:rPr>
        <w:t>LT industries Medium Supply</w:t>
      </w:r>
    </w:p>
    <w:p w:rsidR="009E0A9B" w:rsidRPr="00E93D6E" w:rsidRDefault="00FB208C" w:rsidP="00B04A3F">
      <w:pPr>
        <w:numPr>
          <w:ilvl w:val="0"/>
          <w:numId w:val="11"/>
        </w:numPr>
        <w:autoSpaceDE w:val="0"/>
        <w:autoSpaceDN w:val="0"/>
        <w:adjustRightInd w:val="0"/>
        <w:spacing w:after="100" w:afterAutospacing="1" w:line="360" w:lineRule="auto"/>
        <w:ind w:left="1080" w:hanging="720"/>
        <w:rPr>
          <w:rFonts w:ascii="Arial" w:hAnsi="Arial" w:cs="Arial"/>
          <w:sz w:val="22"/>
          <w:szCs w:val="22"/>
        </w:rPr>
      </w:pPr>
      <w:r w:rsidRPr="00E93D6E">
        <w:rPr>
          <w:rFonts w:ascii="Arial" w:hAnsi="Arial" w:cs="Arial"/>
          <w:sz w:val="22"/>
          <w:szCs w:val="22"/>
        </w:rPr>
        <w:t xml:space="preserve">Public Water Works and Swerage Pumping &gt; 22 KVA </w:t>
      </w:r>
    </w:p>
    <w:p w:rsidR="009E0A9B" w:rsidRPr="00E93D6E" w:rsidRDefault="00FB208C" w:rsidP="00B91F1C">
      <w:pPr>
        <w:autoSpaceDE w:val="0"/>
        <w:autoSpaceDN w:val="0"/>
        <w:adjustRightInd w:val="0"/>
        <w:spacing w:after="100" w:afterAutospacing="1" w:line="360" w:lineRule="auto"/>
        <w:ind w:left="1080" w:hanging="720"/>
        <w:jc w:val="both"/>
        <w:rPr>
          <w:rFonts w:ascii="Arial" w:hAnsi="Arial" w:cs="Arial"/>
          <w:sz w:val="22"/>
          <w:szCs w:val="22"/>
        </w:rPr>
      </w:pPr>
      <w:r w:rsidRPr="00E93D6E">
        <w:rPr>
          <w:rFonts w:ascii="Arial" w:hAnsi="Arial" w:cs="Arial"/>
          <w:sz w:val="22"/>
          <w:szCs w:val="22"/>
        </w:rPr>
        <w:t xml:space="preserve">HT Category </w:t>
      </w:r>
    </w:p>
    <w:p w:rsidR="009E0A9B" w:rsidRPr="00E93D6E" w:rsidRDefault="00FB208C" w:rsidP="00B04A3F">
      <w:pPr>
        <w:numPr>
          <w:ilvl w:val="0"/>
          <w:numId w:val="11"/>
        </w:numPr>
        <w:autoSpaceDE w:val="0"/>
        <w:autoSpaceDN w:val="0"/>
        <w:adjustRightInd w:val="0"/>
        <w:spacing w:after="100" w:afterAutospacing="1" w:line="360" w:lineRule="auto"/>
        <w:ind w:left="1080" w:hanging="720"/>
        <w:jc w:val="both"/>
        <w:rPr>
          <w:rFonts w:ascii="Arial" w:hAnsi="Arial" w:cs="Arial"/>
          <w:sz w:val="22"/>
          <w:szCs w:val="22"/>
        </w:rPr>
      </w:pPr>
      <w:r w:rsidRPr="00E93D6E">
        <w:rPr>
          <w:rFonts w:ascii="Arial" w:hAnsi="Arial" w:cs="Arial"/>
          <w:sz w:val="22"/>
          <w:szCs w:val="22"/>
        </w:rPr>
        <w:t xml:space="preserve">Specified Public Purpose </w:t>
      </w:r>
    </w:p>
    <w:p w:rsidR="009E0A9B" w:rsidRPr="00E93D6E" w:rsidRDefault="00FB208C" w:rsidP="00B04A3F">
      <w:pPr>
        <w:numPr>
          <w:ilvl w:val="0"/>
          <w:numId w:val="11"/>
        </w:numPr>
        <w:autoSpaceDE w:val="0"/>
        <w:autoSpaceDN w:val="0"/>
        <w:adjustRightInd w:val="0"/>
        <w:spacing w:after="100" w:afterAutospacing="1" w:line="360" w:lineRule="auto"/>
        <w:ind w:left="1080" w:hanging="720"/>
        <w:jc w:val="both"/>
        <w:rPr>
          <w:rFonts w:ascii="Arial" w:hAnsi="Arial" w:cs="Arial"/>
          <w:sz w:val="22"/>
          <w:szCs w:val="22"/>
        </w:rPr>
      </w:pPr>
      <w:r w:rsidRPr="00E93D6E">
        <w:rPr>
          <w:rFonts w:ascii="Arial" w:hAnsi="Arial" w:cs="Arial"/>
          <w:sz w:val="22"/>
          <w:szCs w:val="22"/>
        </w:rPr>
        <w:t>General Purpose &lt; 110 KVA</w:t>
      </w:r>
    </w:p>
    <w:p w:rsidR="009E0A9B" w:rsidRPr="00E93D6E" w:rsidRDefault="00FB208C" w:rsidP="00B04A3F">
      <w:pPr>
        <w:numPr>
          <w:ilvl w:val="0"/>
          <w:numId w:val="11"/>
        </w:numPr>
        <w:autoSpaceDE w:val="0"/>
        <w:autoSpaceDN w:val="0"/>
        <w:adjustRightInd w:val="0"/>
        <w:spacing w:after="100" w:afterAutospacing="1" w:line="360" w:lineRule="auto"/>
        <w:ind w:left="1080" w:hanging="720"/>
        <w:jc w:val="both"/>
        <w:rPr>
          <w:rFonts w:ascii="Arial" w:hAnsi="Arial" w:cs="Arial"/>
          <w:sz w:val="22"/>
          <w:szCs w:val="22"/>
        </w:rPr>
      </w:pPr>
      <w:r w:rsidRPr="00E93D6E">
        <w:rPr>
          <w:rFonts w:ascii="Arial" w:hAnsi="Arial" w:cs="Arial"/>
          <w:sz w:val="22"/>
          <w:szCs w:val="22"/>
        </w:rPr>
        <w:t xml:space="preserve">HT Industries ( M) Supply. </w:t>
      </w:r>
    </w:p>
    <w:p w:rsidR="009E0A9B" w:rsidRPr="00BF0E9D" w:rsidRDefault="009E0A9B" w:rsidP="00B91F1C">
      <w:pPr>
        <w:autoSpaceDE w:val="0"/>
        <w:autoSpaceDN w:val="0"/>
        <w:adjustRightInd w:val="0"/>
        <w:spacing w:after="200" w:line="360" w:lineRule="auto"/>
        <w:rPr>
          <w:rFonts w:ascii="Cambria" w:hAnsi="Cambria" w:cs="Arial"/>
        </w:rPr>
      </w:pPr>
    </w:p>
    <w:p w:rsidR="008574A8" w:rsidRPr="00BF0E9D" w:rsidRDefault="008574A8" w:rsidP="00CF66A5">
      <w:pPr>
        <w:pStyle w:val="Heading1"/>
        <w:numPr>
          <w:ilvl w:val="1"/>
          <w:numId w:val="49"/>
        </w:numPr>
        <w:spacing w:line="360" w:lineRule="auto"/>
        <w:jc w:val="both"/>
        <w:rPr>
          <w:rFonts w:ascii="Cambria" w:hAnsi="Cambria"/>
          <w:sz w:val="24"/>
          <w:szCs w:val="24"/>
        </w:rPr>
      </w:pPr>
      <w:bookmarkStart w:id="113" w:name="_Toc404940209"/>
      <w:r w:rsidRPr="00BF0E9D">
        <w:rPr>
          <w:rFonts w:ascii="Cambria" w:hAnsi="Cambria"/>
          <w:sz w:val="24"/>
          <w:szCs w:val="24"/>
        </w:rPr>
        <w:t>Verification of CGP Status of Power Plants:</w:t>
      </w:r>
      <w:bookmarkEnd w:id="113"/>
    </w:p>
    <w:p w:rsidR="005D264D" w:rsidRPr="00E93D6E" w:rsidRDefault="005D264D" w:rsidP="00202AFA">
      <w:pPr>
        <w:pStyle w:val="BodyText2"/>
        <w:spacing w:line="360" w:lineRule="auto"/>
        <w:jc w:val="both"/>
        <w:rPr>
          <w:rFonts w:cs="Arial"/>
          <w:sz w:val="22"/>
          <w:szCs w:val="22"/>
        </w:rPr>
      </w:pPr>
      <w:r w:rsidRPr="00E93D6E">
        <w:rPr>
          <w:rFonts w:cs="Arial"/>
          <w:sz w:val="22"/>
          <w:szCs w:val="22"/>
        </w:rPr>
        <w:t xml:space="preserve">The Licensee humbly submits that, as per the relevant provisions of the Electricity Act, 2003 read with Indian Electricity Rules,1956, the CGPs are mandated to maintain utilize at least 51% of power for self consumption per annum. Thus there should be annual verification of the status of the industries operating as CGPs. Because if in any year an industry having the CGP status fails to utilize minimum 51% of the power generated from the CGP, then that industry would lose the status of CGP for that particular year, thereby attracting levy of cross subsidy surcharge by the Licensee. This being the well settled principle of law, the Licensee draws the attention of the Hon’ble Commission to the fact that till date the status of the industries owning CGP is not being verified annually, for which a reasonable apprehension would occur about the real status of the CGPs. In this context it would be relevant to mention herein that the Hon’ble Commission vide its Order dtd.03.01.2014 passed in Case No.129 of 2010, while </w:t>
      </w:r>
      <w:r w:rsidRPr="00E93D6E">
        <w:rPr>
          <w:rFonts w:cs="Arial"/>
          <w:sz w:val="22"/>
          <w:szCs w:val="22"/>
        </w:rPr>
        <w:lastRenderedPageBreak/>
        <w:t>adjudicating upon the said issue of determination of CGP status of the industries vis-à-vis the invocation of provisions of Sec.11 by the Govt. of Odisha, directed all the stake holders, to verify the exact status of the industries on yearly basis and subsequently a Committee was formed by the Hon’ble Commission, to implement the above direction which is however deferred due to an interim stay granted by the Hon’ble High Court of Orissa vide Order dtd.05.09.2013, in W.P.(C) No.18481 of 2013. Meanwhile the CCPO also filed a petition before the Hon’ble Commission for review of the said Order dtd.03.01.2014. Recently the Hon’ble High Court vide its Order dtd.06.08.2014 passed in the said case has made it clear that the notwithstanding the pendency of the writ petition the present review proceeding would continue. Thus the Hon’ble Commission is at liberty to re-constitute the Committee for verification of the CGP status of the industries by which the scenario would be clear and the Licnesee would be in a position to determine and fix the liability of cross subsidy surcharge upon those industries losing the status of CGP for any particular period.</w:t>
      </w:r>
    </w:p>
    <w:p w:rsidR="009E0A9B" w:rsidRPr="00E93D6E" w:rsidRDefault="009E0A9B" w:rsidP="00CF66A5">
      <w:pPr>
        <w:pStyle w:val="Heading1"/>
        <w:numPr>
          <w:ilvl w:val="1"/>
          <w:numId w:val="49"/>
        </w:numPr>
        <w:spacing w:line="360" w:lineRule="auto"/>
        <w:jc w:val="both"/>
        <w:rPr>
          <w:sz w:val="22"/>
          <w:szCs w:val="22"/>
        </w:rPr>
      </w:pPr>
      <w:bookmarkStart w:id="114" w:name="_Toc404940210"/>
      <w:r w:rsidRPr="00E93D6E">
        <w:rPr>
          <w:sz w:val="22"/>
          <w:szCs w:val="22"/>
        </w:rPr>
        <w:t>Emergency power supply to Captive Power Plants (CPP)</w:t>
      </w:r>
      <w:bookmarkEnd w:id="114"/>
    </w:p>
    <w:p w:rsidR="00C9787E" w:rsidRPr="00E93D6E" w:rsidRDefault="00C9787E" w:rsidP="00B91F1C">
      <w:pPr>
        <w:pStyle w:val="BodyText2"/>
        <w:spacing w:line="360" w:lineRule="auto"/>
        <w:jc w:val="both"/>
        <w:rPr>
          <w:rFonts w:cs="Arial"/>
          <w:iCs/>
          <w:sz w:val="22"/>
          <w:szCs w:val="22"/>
        </w:rPr>
      </w:pPr>
      <w:r w:rsidRPr="00E93D6E">
        <w:rPr>
          <w:rFonts w:cs="Arial"/>
          <w:iCs/>
          <w:sz w:val="22"/>
          <w:szCs w:val="22"/>
        </w:rPr>
        <w:t xml:space="preserve">Normally the Emergency /Startup power requirement of Captive generators are very less  but as per OERC Distribution ( Condition of Supply ) Code regulations-2004 Chapter – VIII ,Para-15 </w:t>
      </w:r>
      <w:r w:rsidRPr="00E93D6E">
        <w:rPr>
          <w:rFonts w:cs="Arial"/>
          <w:b/>
          <w:iCs/>
          <w:sz w:val="22"/>
          <w:szCs w:val="22"/>
        </w:rPr>
        <w:t xml:space="preserve">the emergency assistance shall be  limited to 100% of the rated capacity of the largest unit in the Captive power plant of Generating Stations. </w:t>
      </w:r>
      <w:r w:rsidRPr="00E93D6E">
        <w:rPr>
          <w:rFonts w:cs="Arial"/>
          <w:iCs/>
          <w:sz w:val="22"/>
          <w:szCs w:val="22"/>
        </w:rPr>
        <w:t>But as per retail supply tariff for FY-</w:t>
      </w:r>
      <w:r w:rsidR="00D22680" w:rsidRPr="00E93D6E">
        <w:rPr>
          <w:rFonts w:cs="Arial"/>
          <w:iCs/>
          <w:sz w:val="22"/>
          <w:szCs w:val="22"/>
        </w:rPr>
        <w:t>2013-14</w:t>
      </w:r>
      <w:r w:rsidRPr="00E93D6E">
        <w:rPr>
          <w:rFonts w:cs="Arial"/>
          <w:iCs/>
          <w:sz w:val="22"/>
          <w:szCs w:val="22"/>
        </w:rPr>
        <w:t xml:space="preserve">, no </w:t>
      </w:r>
      <w:r w:rsidRPr="00E93D6E">
        <w:rPr>
          <w:rFonts w:cs="Arial"/>
          <w:sz w:val="22"/>
          <w:szCs w:val="22"/>
          <w:lang w:val="en-GB"/>
        </w:rPr>
        <w:t>demand</w:t>
      </w:r>
      <w:r w:rsidRPr="00E93D6E">
        <w:rPr>
          <w:rFonts w:cs="Arial"/>
          <w:iCs/>
          <w:sz w:val="22"/>
          <w:szCs w:val="22"/>
        </w:rPr>
        <w:t xml:space="preserve"> charges are payable by industrial consumers availing Emergency power supply having contract demand of 100% of the rated capacity of largest Unit.    </w:t>
      </w:r>
    </w:p>
    <w:p w:rsidR="00C9787E" w:rsidRPr="00E93D6E" w:rsidRDefault="00C9787E" w:rsidP="00B91F1C">
      <w:pPr>
        <w:pStyle w:val="Default"/>
        <w:spacing w:line="360" w:lineRule="auto"/>
        <w:jc w:val="both"/>
        <w:rPr>
          <w:rFonts w:ascii="Arial" w:hAnsi="Arial" w:cs="Arial"/>
          <w:iCs/>
          <w:sz w:val="22"/>
          <w:szCs w:val="22"/>
        </w:rPr>
      </w:pPr>
    </w:p>
    <w:p w:rsidR="00C9787E" w:rsidRPr="00E93D6E" w:rsidRDefault="00C9787E" w:rsidP="00B91F1C">
      <w:pPr>
        <w:pStyle w:val="BodyText2"/>
        <w:spacing w:line="360" w:lineRule="auto"/>
        <w:jc w:val="both"/>
        <w:rPr>
          <w:rFonts w:cs="Arial"/>
          <w:iCs/>
          <w:sz w:val="22"/>
          <w:szCs w:val="22"/>
        </w:rPr>
      </w:pPr>
      <w:r w:rsidRPr="00E93D6E">
        <w:rPr>
          <w:rFonts w:cs="Arial"/>
          <w:iCs/>
          <w:sz w:val="22"/>
          <w:szCs w:val="22"/>
        </w:rPr>
        <w:t xml:space="preserve">In case of failure of the captive units, those industries draw power from the grid for their industrial consumption in the name of start-up/ Emergency power requirement of their CGP. There is hardly any spinning reserve available with the licensee to manage such huge industrial requirement of the Industries. As a result Licensees are drawing more than their schedule during certain periods in a day resulting Over drawal from State / Central grid with financial burden to the Licensee in Intra-state ABT mode of Operation . Licensee also proposes for amendment of  Para-15 of OERC Distribution ( condition of supply) code. </w:t>
      </w:r>
    </w:p>
    <w:p w:rsidR="00C9787E" w:rsidRPr="00E93D6E" w:rsidRDefault="00C9787E" w:rsidP="00B91F1C">
      <w:pPr>
        <w:pStyle w:val="BodyText2"/>
        <w:spacing w:line="360" w:lineRule="auto"/>
        <w:jc w:val="both"/>
        <w:rPr>
          <w:rFonts w:cs="Arial"/>
          <w:sz w:val="22"/>
          <w:szCs w:val="22"/>
        </w:rPr>
      </w:pPr>
      <w:r w:rsidRPr="00E93D6E">
        <w:rPr>
          <w:rFonts w:cs="Arial"/>
          <w:b/>
          <w:sz w:val="22"/>
          <w:szCs w:val="22"/>
        </w:rPr>
        <w:t>Start up Load Requirements</w:t>
      </w:r>
      <w:r w:rsidRPr="00E93D6E">
        <w:rPr>
          <w:rFonts w:cs="Arial"/>
          <w:sz w:val="22"/>
          <w:szCs w:val="22"/>
        </w:rPr>
        <w:t xml:space="preserve"> - The quantum of energy to be used for emergency supply for start up loads should be scientifically determined based on the age of the industrial plant, size of the industrial plant, technology of the unit. It has been estimated that the start-up power required for CPPs is around 10 to 12 % of the rated capacity of highest unit  and </w:t>
      </w:r>
      <w:r w:rsidR="001B52D2" w:rsidRPr="00E93D6E">
        <w:rPr>
          <w:rFonts w:cs="Arial"/>
          <w:sz w:val="22"/>
          <w:szCs w:val="22"/>
        </w:rPr>
        <w:t>Hon’ble</w:t>
      </w:r>
      <w:r w:rsidRPr="00E93D6E">
        <w:rPr>
          <w:rFonts w:cs="Arial"/>
          <w:iCs/>
          <w:sz w:val="22"/>
          <w:szCs w:val="22"/>
        </w:rPr>
        <w:t>Commission</w:t>
      </w:r>
      <w:r w:rsidRPr="00E93D6E">
        <w:rPr>
          <w:rFonts w:cs="Arial"/>
          <w:sz w:val="22"/>
          <w:szCs w:val="22"/>
        </w:rPr>
        <w:t xml:space="preserve"> is requested to frame norms/ guidelines for estimation of such requirement.. </w:t>
      </w:r>
    </w:p>
    <w:p w:rsidR="00C9787E" w:rsidRPr="00E93D6E" w:rsidRDefault="00C9787E" w:rsidP="00B91F1C">
      <w:pPr>
        <w:pStyle w:val="BodyText2"/>
        <w:spacing w:line="360" w:lineRule="auto"/>
        <w:jc w:val="both"/>
        <w:rPr>
          <w:rFonts w:cs="Arial"/>
          <w:sz w:val="22"/>
          <w:szCs w:val="22"/>
          <w:lang w:val="en-GB"/>
        </w:rPr>
      </w:pPr>
      <w:r w:rsidRPr="00E93D6E">
        <w:rPr>
          <w:rFonts w:cs="Arial"/>
          <w:b/>
          <w:sz w:val="22"/>
          <w:szCs w:val="22"/>
        </w:rPr>
        <w:lastRenderedPageBreak/>
        <w:t>Essential or Survival Load Requirements</w:t>
      </w:r>
      <w:r w:rsidRPr="00E93D6E">
        <w:rPr>
          <w:rFonts w:cs="Arial"/>
          <w:sz w:val="22"/>
          <w:szCs w:val="22"/>
        </w:rPr>
        <w:t xml:space="preserve"> - It is suggested that  for consumption in excess of   10 % load factor, the demand charge should be charged at double the normal rate and that the Industries should execute agreement with Distribution Licensees. In light with the ‘emergency’ nature of  the supply it is suggested that there should be provisions for disconnection of supply in case the consumption is in excess of 10% of the load factor for two consecutive months. The licensee suggests the introduction of  Demand Charges of Rs 2</w:t>
      </w:r>
      <w:r w:rsidR="00BA4217" w:rsidRPr="00E93D6E">
        <w:rPr>
          <w:rFonts w:cs="Arial"/>
          <w:sz w:val="22"/>
          <w:szCs w:val="22"/>
        </w:rPr>
        <w:t>5</w:t>
      </w:r>
      <w:r w:rsidRPr="00E93D6E">
        <w:rPr>
          <w:rFonts w:cs="Arial"/>
          <w:sz w:val="22"/>
          <w:szCs w:val="22"/>
        </w:rPr>
        <w:t>0 / KVA  in addition to Energy Charges for Start-up power</w:t>
      </w:r>
      <w:r w:rsidRPr="00E93D6E">
        <w:rPr>
          <w:rFonts w:cs="Arial"/>
          <w:sz w:val="22"/>
          <w:szCs w:val="22"/>
          <w:lang w:val="en-GB"/>
        </w:rPr>
        <w:t xml:space="preserve"> .</w:t>
      </w:r>
    </w:p>
    <w:p w:rsidR="00C9787E" w:rsidRPr="00E93D6E" w:rsidRDefault="00C9787E" w:rsidP="00B91F1C">
      <w:pPr>
        <w:pStyle w:val="BodyText2"/>
        <w:spacing w:line="360" w:lineRule="auto"/>
        <w:jc w:val="both"/>
        <w:rPr>
          <w:rFonts w:cs="Arial"/>
          <w:sz w:val="22"/>
          <w:szCs w:val="22"/>
          <w:lang w:val="en-GB"/>
        </w:rPr>
      </w:pPr>
      <w:r w:rsidRPr="00E93D6E">
        <w:rPr>
          <w:rFonts w:cs="Arial"/>
          <w:sz w:val="22"/>
          <w:szCs w:val="22"/>
        </w:rPr>
        <w:t>A large number of industries have already  opted for their own captive generating plants and  few others are</w:t>
      </w:r>
      <w:r w:rsidRPr="00E93D6E">
        <w:rPr>
          <w:rFonts w:cs="Arial"/>
          <w:sz w:val="22"/>
          <w:szCs w:val="22"/>
          <w:lang w:val="en-GB"/>
        </w:rPr>
        <w:t xml:space="preserve"> under pipe line, while cross -subsidised consumers have increased substantially due to addition of large number of consumers under RGGVY and BGJY Scheme . The number of industries in the pipeline for opting for their own captive generating plants are as under. </w:t>
      </w:r>
    </w:p>
    <w:p w:rsidR="00C9787E" w:rsidRPr="00E93D6E" w:rsidRDefault="00C9787E" w:rsidP="00B91F1C">
      <w:pPr>
        <w:pStyle w:val="BodyText"/>
        <w:spacing w:line="360" w:lineRule="auto"/>
        <w:ind w:firstLine="360"/>
        <w:rPr>
          <w:rFonts w:ascii="Arial" w:hAnsi="Arial" w:cs="Arial"/>
          <w:b/>
          <w:sz w:val="22"/>
          <w:szCs w:val="22"/>
          <w:lang w:val="en-GB"/>
        </w:rPr>
      </w:pPr>
      <w:r w:rsidRPr="00E93D6E">
        <w:rPr>
          <w:rFonts w:ascii="Arial" w:hAnsi="Arial" w:cs="Arial"/>
          <w:b/>
          <w:sz w:val="22"/>
          <w:szCs w:val="22"/>
          <w:lang w:val="en-GB"/>
        </w:rPr>
        <w:t xml:space="preserve">Already opted for Emergency power supply. </w:t>
      </w:r>
    </w:p>
    <w:p w:rsidR="00C9787E" w:rsidRPr="00E93D6E" w:rsidRDefault="003A7159" w:rsidP="00B04A3F">
      <w:pPr>
        <w:pStyle w:val="BodyText"/>
        <w:numPr>
          <w:ilvl w:val="0"/>
          <w:numId w:val="12"/>
        </w:numPr>
        <w:spacing w:after="0" w:line="360" w:lineRule="auto"/>
        <w:jc w:val="both"/>
        <w:rPr>
          <w:rFonts w:ascii="Arial" w:hAnsi="Arial" w:cs="Arial"/>
          <w:sz w:val="22"/>
          <w:szCs w:val="22"/>
          <w:lang w:val="en-GB"/>
        </w:rPr>
      </w:pPr>
      <w:r w:rsidRPr="00E93D6E">
        <w:rPr>
          <w:rFonts w:ascii="Arial" w:hAnsi="Arial" w:cs="Arial"/>
          <w:sz w:val="22"/>
          <w:szCs w:val="22"/>
          <w:lang w:val="en-GB"/>
        </w:rPr>
        <w:t>Action Ispat</w:t>
      </w:r>
      <w:r w:rsidR="00FB208C" w:rsidRPr="00E93D6E">
        <w:rPr>
          <w:rFonts w:ascii="Arial" w:hAnsi="Arial" w:cs="Arial"/>
          <w:sz w:val="22"/>
          <w:szCs w:val="22"/>
          <w:lang w:val="en-GB"/>
        </w:rPr>
        <w:t xml:space="preserve">  ( CD </w:t>
      </w:r>
      <w:r w:rsidRPr="00E93D6E">
        <w:rPr>
          <w:rFonts w:ascii="Arial" w:hAnsi="Arial" w:cs="Arial"/>
          <w:sz w:val="22"/>
          <w:szCs w:val="22"/>
          <w:lang w:val="en-GB"/>
        </w:rPr>
        <w:t>6</w:t>
      </w:r>
      <w:r w:rsidR="00FB208C" w:rsidRPr="00E93D6E">
        <w:rPr>
          <w:rFonts w:ascii="Arial" w:hAnsi="Arial" w:cs="Arial"/>
          <w:sz w:val="22"/>
          <w:szCs w:val="22"/>
          <w:lang w:val="en-GB"/>
        </w:rPr>
        <w:t xml:space="preserve"> MW )</w:t>
      </w:r>
    </w:p>
    <w:p w:rsidR="00C9787E" w:rsidRPr="00E93D6E" w:rsidRDefault="00FB208C" w:rsidP="00B04A3F">
      <w:pPr>
        <w:pStyle w:val="BodyText"/>
        <w:numPr>
          <w:ilvl w:val="0"/>
          <w:numId w:val="12"/>
        </w:numPr>
        <w:spacing w:after="0" w:line="360" w:lineRule="auto"/>
        <w:jc w:val="both"/>
        <w:rPr>
          <w:rFonts w:ascii="Arial" w:hAnsi="Arial" w:cs="Arial"/>
          <w:sz w:val="22"/>
          <w:szCs w:val="22"/>
          <w:lang w:val="en-GB"/>
        </w:rPr>
      </w:pPr>
      <w:r w:rsidRPr="00E93D6E">
        <w:rPr>
          <w:rFonts w:ascii="Arial" w:hAnsi="Arial" w:cs="Arial"/>
          <w:sz w:val="22"/>
          <w:szCs w:val="22"/>
          <w:lang w:val="en-GB"/>
        </w:rPr>
        <w:t>Shyam Metalicks and Power Ltd   ( CD 6 MW )</w:t>
      </w:r>
    </w:p>
    <w:p w:rsidR="00C9787E" w:rsidRPr="00E93D6E" w:rsidRDefault="00FB208C" w:rsidP="00B04A3F">
      <w:pPr>
        <w:pStyle w:val="BodyText"/>
        <w:numPr>
          <w:ilvl w:val="0"/>
          <w:numId w:val="12"/>
        </w:numPr>
        <w:spacing w:after="0" w:line="360" w:lineRule="auto"/>
        <w:jc w:val="both"/>
        <w:rPr>
          <w:rFonts w:ascii="Arial" w:hAnsi="Arial" w:cs="Arial"/>
          <w:sz w:val="22"/>
          <w:szCs w:val="22"/>
          <w:lang w:val="en-GB"/>
        </w:rPr>
      </w:pPr>
      <w:r w:rsidRPr="00E93D6E">
        <w:rPr>
          <w:rFonts w:ascii="Arial" w:hAnsi="Arial" w:cs="Arial"/>
          <w:sz w:val="22"/>
          <w:szCs w:val="22"/>
          <w:lang w:val="en-GB"/>
        </w:rPr>
        <w:t>SMC Power Ltd ( CD 6.9 MW)</w:t>
      </w:r>
    </w:p>
    <w:p w:rsidR="00C9787E" w:rsidRPr="00E93D6E" w:rsidRDefault="003A7159" w:rsidP="00B04A3F">
      <w:pPr>
        <w:pStyle w:val="BodyText"/>
        <w:numPr>
          <w:ilvl w:val="0"/>
          <w:numId w:val="12"/>
        </w:numPr>
        <w:spacing w:after="0" w:line="360" w:lineRule="auto"/>
        <w:jc w:val="both"/>
        <w:rPr>
          <w:rFonts w:ascii="Arial" w:hAnsi="Arial" w:cs="Arial"/>
          <w:sz w:val="22"/>
          <w:szCs w:val="22"/>
          <w:lang w:val="en-GB"/>
        </w:rPr>
      </w:pPr>
      <w:r w:rsidRPr="00E93D6E">
        <w:rPr>
          <w:rFonts w:ascii="Arial" w:hAnsi="Arial" w:cs="Arial"/>
          <w:sz w:val="22"/>
          <w:szCs w:val="22"/>
          <w:lang w:val="en-GB"/>
        </w:rPr>
        <w:t>Aryan Ispat</w:t>
      </w:r>
      <w:r w:rsidR="00FB208C" w:rsidRPr="00E93D6E">
        <w:rPr>
          <w:rFonts w:ascii="Arial" w:hAnsi="Arial" w:cs="Arial"/>
          <w:sz w:val="22"/>
          <w:szCs w:val="22"/>
          <w:lang w:val="en-GB"/>
        </w:rPr>
        <w:t>. ( CD 5 MW)</w:t>
      </w:r>
    </w:p>
    <w:p w:rsidR="003A7159" w:rsidRPr="00E93D6E" w:rsidRDefault="003A7159" w:rsidP="00B91F1C">
      <w:pPr>
        <w:pStyle w:val="BodyText"/>
        <w:spacing w:line="360" w:lineRule="auto"/>
        <w:jc w:val="both"/>
        <w:rPr>
          <w:rFonts w:ascii="Arial" w:hAnsi="Arial" w:cs="Arial"/>
          <w:b/>
          <w:sz w:val="22"/>
          <w:szCs w:val="22"/>
          <w:lang w:val="en-GB"/>
        </w:rPr>
      </w:pPr>
    </w:p>
    <w:p w:rsidR="00C9787E" w:rsidRPr="00E93D6E" w:rsidRDefault="00C9787E" w:rsidP="00B91F1C">
      <w:pPr>
        <w:pStyle w:val="BodyText"/>
        <w:spacing w:line="360" w:lineRule="auto"/>
        <w:jc w:val="both"/>
        <w:rPr>
          <w:rFonts w:ascii="Arial" w:hAnsi="Arial" w:cs="Arial"/>
          <w:b/>
          <w:sz w:val="22"/>
          <w:szCs w:val="22"/>
          <w:lang w:val="en-GB"/>
        </w:rPr>
      </w:pPr>
      <w:r w:rsidRPr="00E93D6E">
        <w:rPr>
          <w:rFonts w:ascii="Arial" w:hAnsi="Arial" w:cs="Arial"/>
          <w:b/>
          <w:sz w:val="22"/>
          <w:szCs w:val="22"/>
          <w:lang w:val="en-GB"/>
        </w:rPr>
        <w:t>For instance, in Chattisgarh, there is a two part tariff for start-up power for generators at 400/220 /132/33/11 KV  approved for FY 2012-13 which is as under</w:t>
      </w:r>
      <w:r w:rsidR="003A7159" w:rsidRPr="00E93D6E">
        <w:rPr>
          <w:rFonts w:ascii="Arial" w:hAnsi="Arial" w:cs="Arial"/>
          <w:b/>
          <w:sz w:val="22"/>
          <w:szCs w:val="22"/>
          <w:lang w:val="en-GB"/>
        </w:rPr>
        <w:t>:</w:t>
      </w:r>
    </w:p>
    <w:p w:rsidR="00C9787E" w:rsidRPr="00E93D6E" w:rsidRDefault="00C9787E" w:rsidP="00B91F1C">
      <w:pPr>
        <w:autoSpaceDE w:val="0"/>
        <w:autoSpaceDN w:val="0"/>
        <w:adjustRightInd w:val="0"/>
        <w:spacing w:line="360" w:lineRule="auto"/>
        <w:jc w:val="both"/>
        <w:rPr>
          <w:rFonts w:ascii="Arial" w:eastAsia="Calibri" w:hAnsi="Arial" w:cs="Arial"/>
          <w:b/>
          <w:bCs/>
          <w:i/>
          <w:iCs/>
          <w:sz w:val="22"/>
          <w:szCs w:val="22"/>
        </w:rPr>
      </w:pPr>
      <w:r w:rsidRPr="00E93D6E">
        <w:rPr>
          <w:rFonts w:ascii="Arial" w:eastAsia="Calibri" w:hAnsi="Arial" w:cs="Arial"/>
          <w:b/>
          <w:bCs/>
          <w:i/>
          <w:iCs/>
          <w:sz w:val="22"/>
          <w:szCs w:val="22"/>
        </w:rPr>
        <w:t>Start-up Power</w:t>
      </w:r>
    </w:p>
    <w:p w:rsidR="00C9787E" w:rsidRPr="00E93D6E" w:rsidRDefault="00C9787E" w:rsidP="00B91F1C">
      <w:pPr>
        <w:autoSpaceDE w:val="0"/>
        <w:autoSpaceDN w:val="0"/>
        <w:adjustRightInd w:val="0"/>
        <w:spacing w:line="360" w:lineRule="auto"/>
        <w:jc w:val="both"/>
        <w:rPr>
          <w:rFonts w:ascii="Arial" w:eastAsia="Calibri" w:hAnsi="Arial" w:cs="Arial"/>
          <w:sz w:val="22"/>
          <w:szCs w:val="22"/>
        </w:rPr>
      </w:pPr>
    </w:p>
    <w:p w:rsidR="00C9787E" w:rsidRPr="00E93D6E" w:rsidRDefault="00C9787E" w:rsidP="00B91F1C">
      <w:pPr>
        <w:autoSpaceDE w:val="0"/>
        <w:autoSpaceDN w:val="0"/>
        <w:adjustRightInd w:val="0"/>
        <w:spacing w:line="360" w:lineRule="auto"/>
        <w:jc w:val="both"/>
        <w:rPr>
          <w:rFonts w:ascii="Arial" w:eastAsia="Calibri" w:hAnsi="Arial" w:cs="Arial"/>
          <w:sz w:val="22"/>
          <w:szCs w:val="22"/>
        </w:rPr>
      </w:pPr>
      <w:r w:rsidRPr="00E93D6E">
        <w:rPr>
          <w:rFonts w:ascii="Arial" w:eastAsia="Calibri" w:hAnsi="Arial" w:cs="Arial"/>
          <w:sz w:val="22"/>
          <w:szCs w:val="22"/>
        </w:rPr>
        <w:t>This tariff is applicable to those consumers who avail supply for start-up of generators at 400/220/132/33/11 KV including biomass based generators, hydro generators and captive power plants. Start-up power tariff shall also be applicable to the generators who are co-located with industrial load. This tariff shall also be applicable to the generators situated in the state but have connectivity with the CTU system with proper accounting. This tariff shall also be applicable to such generator(s) for start up purpose prior to their COD.</w:t>
      </w:r>
    </w:p>
    <w:p w:rsidR="00C9787E" w:rsidRPr="00E93D6E" w:rsidRDefault="00C9787E" w:rsidP="00B91F1C">
      <w:pPr>
        <w:autoSpaceDE w:val="0"/>
        <w:autoSpaceDN w:val="0"/>
        <w:adjustRightInd w:val="0"/>
        <w:spacing w:line="360" w:lineRule="auto"/>
        <w:jc w:val="both"/>
        <w:rPr>
          <w:rFonts w:ascii="Arial" w:eastAsia="Calibri" w:hAnsi="Arial" w:cs="Arial"/>
          <w:b/>
          <w:bCs/>
          <w:color w:val="000000"/>
          <w:sz w:val="22"/>
          <w:szCs w:val="22"/>
        </w:rPr>
      </w:pPr>
    </w:p>
    <w:p w:rsidR="00C9787E" w:rsidRPr="00E93D6E" w:rsidRDefault="00C9787E" w:rsidP="00B91F1C">
      <w:pPr>
        <w:autoSpaceDE w:val="0"/>
        <w:autoSpaceDN w:val="0"/>
        <w:adjustRightInd w:val="0"/>
        <w:spacing w:line="360" w:lineRule="auto"/>
        <w:jc w:val="both"/>
        <w:rPr>
          <w:rFonts w:ascii="Arial" w:eastAsia="Calibri" w:hAnsi="Arial" w:cs="Arial"/>
          <w:b/>
          <w:bCs/>
          <w:i/>
          <w:color w:val="000000"/>
          <w:sz w:val="22"/>
          <w:szCs w:val="22"/>
        </w:rPr>
      </w:pPr>
      <w:r w:rsidRPr="00E93D6E">
        <w:rPr>
          <w:rFonts w:ascii="Arial" w:eastAsia="Calibri" w:hAnsi="Arial" w:cs="Arial"/>
          <w:b/>
          <w:bCs/>
          <w:color w:val="000000"/>
          <w:sz w:val="22"/>
          <w:szCs w:val="22"/>
        </w:rPr>
        <w:t xml:space="preserve">“ </w:t>
      </w:r>
      <w:r w:rsidRPr="00E93D6E">
        <w:rPr>
          <w:rFonts w:ascii="Arial" w:eastAsia="Calibri" w:hAnsi="Arial" w:cs="Arial"/>
          <w:b/>
          <w:bCs/>
          <w:i/>
          <w:color w:val="000000"/>
          <w:sz w:val="22"/>
          <w:szCs w:val="22"/>
        </w:rPr>
        <w:t>Start-Up Power Tariff</w:t>
      </w:r>
    </w:p>
    <w:p w:rsidR="00C9787E" w:rsidRPr="00E93D6E" w:rsidRDefault="00C9787E" w:rsidP="00B91F1C">
      <w:pPr>
        <w:autoSpaceDE w:val="0"/>
        <w:autoSpaceDN w:val="0"/>
        <w:adjustRightInd w:val="0"/>
        <w:spacing w:line="360" w:lineRule="auto"/>
        <w:jc w:val="both"/>
        <w:rPr>
          <w:rFonts w:ascii="Arial" w:eastAsia="Calibri" w:hAnsi="Arial" w:cs="Arial"/>
          <w:b/>
          <w:bCs/>
          <w:i/>
          <w:color w:val="000000"/>
          <w:sz w:val="22"/>
          <w:szCs w:val="22"/>
        </w:rPr>
      </w:pPr>
    </w:p>
    <w:p w:rsidR="00C9787E" w:rsidRPr="00E93D6E" w:rsidRDefault="00C9787E" w:rsidP="00B91F1C">
      <w:pPr>
        <w:autoSpaceDE w:val="0"/>
        <w:autoSpaceDN w:val="0"/>
        <w:adjustRightInd w:val="0"/>
        <w:spacing w:line="360" w:lineRule="auto"/>
        <w:jc w:val="both"/>
        <w:rPr>
          <w:rFonts w:ascii="Arial" w:eastAsia="Calibri" w:hAnsi="Arial" w:cs="Arial"/>
          <w:b/>
          <w:bCs/>
          <w:i/>
          <w:color w:val="000000"/>
          <w:sz w:val="22"/>
          <w:szCs w:val="22"/>
        </w:rPr>
      </w:pPr>
      <w:r w:rsidRPr="00E93D6E">
        <w:rPr>
          <w:rFonts w:ascii="Arial" w:eastAsia="Calibri" w:hAnsi="Arial" w:cs="Arial"/>
          <w:b/>
          <w:bCs/>
          <w:i/>
          <w:color w:val="000000"/>
          <w:sz w:val="22"/>
          <w:szCs w:val="22"/>
        </w:rPr>
        <w:t>1. Applicability</w:t>
      </w:r>
    </w:p>
    <w:p w:rsidR="00C9787E" w:rsidRPr="00E93D6E" w:rsidRDefault="00C9787E" w:rsidP="00B91F1C">
      <w:pPr>
        <w:autoSpaceDE w:val="0"/>
        <w:autoSpaceDN w:val="0"/>
        <w:adjustRightInd w:val="0"/>
        <w:spacing w:line="360" w:lineRule="auto"/>
        <w:jc w:val="both"/>
        <w:rPr>
          <w:rFonts w:ascii="Arial" w:eastAsia="Calibri" w:hAnsi="Arial" w:cs="Arial"/>
          <w:i/>
          <w:color w:val="000000"/>
          <w:sz w:val="22"/>
          <w:szCs w:val="22"/>
        </w:rPr>
      </w:pPr>
      <w:r w:rsidRPr="00E93D6E">
        <w:rPr>
          <w:rFonts w:ascii="Arial" w:eastAsia="Calibri" w:hAnsi="Arial" w:cs="Arial"/>
          <w:i/>
          <w:color w:val="000000"/>
          <w:sz w:val="22"/>
          <w:szCs w:val="22"/>
        </w:rPr>
        <w:t>The tariff shall be applicable to those consumers including IPP/CPP who avail supply for start-up of generators at 400/220/132/33/11 KV.</w:t>
      </w:r>
    </w:p>
    <w:p w:rsidR="00C9787E" w:rsidRPr="00E93D6E" w:rsidRDefault="00C9787E" w:rsidP="00B91F1C">
      <w:pPr>
        <w:autoSpaceDE w:val="0"/>
        <w:autoSpaceDN w:val="0"/>
        <w:adjustRightInd w:val="0"/>
        <w:spacing w:line="360" w:lineRule="auto"/>
        <w:jc w:val="both"/>
        <w:rPr>
          <w:rFonts w:ascii="Arial" w:eastAsia="Calibri" w:hAnsi="Arial" w:cs="Arial"/>
          <w:b/>
          <w:bCs/>
          <w:i/>
          <w:color w:val="000000"/>
          <w:sz w:val="22"/>
          <w:szCs w:val="22"/>
        </w:rPr>
      </w:pPr>
    </w:p>
    <w:p w:rsidR="00C9787E" w:rsidRPr="00E93D6E" w:rsidRDefault="00C9787E" w:rsidP="00B91F1C">
      <w:pPr>
        <w:autoSpaceDE w:val="0"/>
        <w:autoSpaceDN w:val="0"/>
        <w:adjustRightInd w:val="0"/>
        <w:spacing w:line="360" w:lineRule="auto"/>
        <w:jc w:val="both"/>
        <w:rPr>
          <w:rFonts w:ascii="Arial" w:eastAsia="Calibri" w:hAnsi="Arial" w:cs="Arial"/>
          <w:b/>
          <w:bCs/>
          <w:i/>
          <w:color w:val="000000"/>
          <w:sz w:val="22"/>
          <w:szCs w:val="22"/>
        </w:rPr>
      </w:pPr>
      <w:r w:rsidRPr="00E93D6E">
        <w:rPr>
          <w:rFonts w:ascii="Arial" w:eastAsia="Calibri" w:hAnsi="Arial" w:cs="Arial"/>
          <w:b/>
          <w:bCs/>
          <w:i/>
          <w:color w:val="000000"/>
          <w:sz w:val="22"/>
          <w:szCs w:val="22"/>
        </w:rPr>
        <w:lastRenderedPageBreak/>
        <w:t xml:space="preserve">2. Tariff </w:t>
      </w:r>
    </w:p>
    <w:p w:rsidR="00C9787E" w:rsidRPr="00E93D6E" w:rsidRDefault="00C9787E" w:rsidP="00B91F1C">
      <w:pPr>
        <w:autoSpaceDE w:val="0"/>
        <w:autoSpaceDN w:val="0"/>
        <w:adjustRightInd w:val="0"/>
        <w:spacing w:line="360" w:lineRule="auto"/>
        <w:jc w:val="both"/>
        <w:rPr>
          <w:rFonts w:ascii="Arial" w:eastAsia="Calibri" w:hAnsi="Arial" w:cs="Arial"/>
          <w:i/>
          <w:color w:val="000000"/>
          <w:sz w:val="22"/>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28"/>
        <w:gridCol w:w="3420"/>
        <w:gridCol w:w="2880"/>
      </w:tblGrid>
      <w:tr w:rsidR="00C9787E" w:rsidRPr="00E93D6E">
        <w:tc>
          <w:tcPr>
            <w:tcW w:w="3528" w:type="dxa"/>
          </w:tcPr>
          <w:p w:rsidR="00C9787E" w:rsidRPr="00E93D6E" w:rsidRDefault="00C9787E" w:rsidP="00B91F1C">
            <w:pPr>
              <w:tabs>
                <w:tab w:val="center" w:pos="4320"/>
                <w:tab w:val="right" w:pos="8640"/>
              </w:tabs>
              <w:autoSpaceDE w:val="0"/>
              <w:autoSpaceDN w:val="0"/>
              <w:adjustRightInd w:val="0"/>
              <w:spacing w:line="360" w:lineRule="auto"/>
              <w:jc w:val="both"/>
              <w:rPr>
                <w:rFonts w:ascii="Arial" w:eastAsia="Calibri" w:hAnsi="Arial" w:cs="Arial"/>
                <w:i/>
                <w:color w:val="000000"/>
                <w:sz w:val="22"/>
                <w:szCs w:val="22"/>
              </w:rPr>
            </w:pPr>
            <w:r w:rsidRPr="00E93D6E">
              <w:rPr>
                <w:rFonts w:ascii="Arial" w:eastAsia="Calibri" w:hAnsi="Arial" w:cs="Arial"/>
                <w:i/>
                <w:color w:val="000000"/>
                <w:sz w:val="22"/>
                <w:szCs w:val="22"/>
              </w:rPr>
              <w:t xml:space="preserve">Category of Consumers </w:t>
            </w:r>
          </w:p>
        </w:tc>
        <w:tc>
          <w:tcPr>
            <w:tcW w:w="3420" w:type="dxa"/>
          </w:tcPr>
          <w:p w:rsidR="00C9787E" w:rsidRPr="00E93D6E" w:rsidRDefault="00C9787E" w:rsidP="00B91F1C">
            <w:pPr>
              <w:tabs>
                <w:tab w:val="center" w:pos="4320"/>
                <w:tab w:val="right" w:pos="8640"/>
              </w:tabs>
              <w:autoSpaceDE w:val="0"/>
              <w:autoSpaceDN w:val="0"/>
              <w:adjustRightInd w:val="0"/>
              <w:spacing w:line="360" w:lineRule="auto"/>
              <w:jc w:val="both"/>
              <w:rPr>
                <w:rFonts w:ascii="Arial" w:eastAsia="Calibri" w:hAnsi="Arial" w:cs="Arial"/>
                <w:i/>
                <w:color w:val="000000"/>
                <w:sz w:val="22"/>
                <w:szCs w:val="22"/>
              </w:rPr>
            </w:pPr>
            <w:r w:rsidRPr="00E93D6E">
              <w:rPr>
                <w:rFonts w:ascii="Arial" w:eastAsia="Calibri" w:hAnsi="Arial" w:cs="Arial"/>
                <w:i/>
                <w:color w:val="000000"/>
                <w:sz w:val="22"/>
                <w:szCs w:val="22"/>
              </w:rPr>
              <w:t xml:space="preserve">Demand Charges Rs / KVA / Month </w:t>
            </w:r>
          </w:p>
        </w:tc>
        <w:tc>
          <w:tcPr>
            <w:tcW w:w="2880" w:type="dxa"/>
          </w:tcPr>
          <w:p w:rsidR="00C9787E" w:rsidRPr="00E93D6E" w:rsidRDefault="00C9787E" w:rsidP="00B91F1C">
            <w:pPr>
              <w:tabs>
                <w:tab w:val="center" w:pos="4320"/>
                <w:tab w:val="right" w:pos="8640"/>
              </w:tabs>
              <w:autoSpaceDE w:val="0"/>
              <w:autoSpaceDN w:val="0"/>
              <w:adjustRightInd w:val="0"/>
              <w:spacing w:line="360" w:lineRule="auto"/>
              <w:jc w:val="both"/>
              <w:rPr>
                <w:rFonts w:ascii="Arial" w:eastAsia="Calibri" w:hAnsi="Arial" w:cs="Arial"/>
                <w:i/>
                <w:color w:val="000000"/>
                <w:sz w:val="22"/>
                <w:szCs w:val="22"/>
              </w:rPr>
            </w:pPr>
            <w:r w:rsidRPr="00E93D6E">
              <w:rPr>
                <w:rFonts w:ascii="Arial" w:eastAsia="Calibri" w:hAnsi="Arial" w:cs="Arial"/>
                <w:i/>
                <w:color w:val="000000"/>
                <w:sz w:val="22"/>
                <w:szCs w:val="22"/>
              </w:rPr>
              <w:t>Energy Charges Rs/ KVAh</w:t>
            </w:r>
          </w:p>
        </w:tc>
      </w:tr>
      <w:tr w:rsidR="00C9787E" w:rsidRPr="00E93D6E">
        <w:trPr>
          <w:trHeight w:val="440"/>
        </w:trPr>
        <w:tc>
          <w:tcPr>
            <w:tcW w:w="3528" w:type="dxa"/>
          </w:tcPr>
          <w:p w:rsidR="00C9787E" w:rsidRPr="00E93D6E" w:rsidRDefault="00C9787E" w:rsidP="00B91F1C">
            <w:pPr>
              <w:tabs>
                <w:tab w:val="center" w:pos="4320"/>
                <w:tab w:val="right" w:pos="8640"/>
              </w:tabs>
              <w:autoSpaceDE w:val="0"/>
              <w:autoSpaceDN w:val="0"/>
              <w:adjustRightInd w:val="0"/>
              <w:spacing w:line="360" w:lineRule="auto"/>
              <w:jc w:val="both"/>
              <w:rPr>
                <w:rFonts w:ascii="Arial" w:eastAsia="Calibri" w:hAnsi="Arial" w:cs="Arial"/>
                <w:i/>
                <w:color w:val="000000"/>
                <w:sz w:val="22"/>
                <w:szCs w:val="22"/>
              </w:rPr>
            </w:pPr>
            <w:r w:rsidRPr="00E93D6E">
              <w:rPr>
                <w:rFonts w:ascii="Arial" w:eastAsia="Calibri" w:hAnsi="Arial" w:cs="Arial"/>
                <w:i/>
                <w:color w:val="000000"/>
                <w:sz w:val="22"/>
                <w:szCs w:val="22"/>
              </w:rPr>
              <w:t>Start- Up Power Tariff  ( HV-8)</w:t>
            </w:r>
          </w:p>
        </w:tc>
        <w:tc>
          <w:tcPr>
            <w:tcW w:w="3420" w:type="dxa"/>
          </w:tcPr>
          <w:p w:rsidR="00C9787E" w:rsidRPr="00E93D6E" w:rsidRDefault="00C9787E" w:rsidP="00B91F1C">
            <w:pPr>
              <w:tabs>
                <w:tab w:val="center" w:pos="4320"/>
                <w:tab w:val="right" w:pos="8640"/>
              </w:tabs>
              <w:autoSpaceDE w:val="0"/>
              <w:autoSpaceDN w:val="0"/>
              <w:adjustRightInd w:val="0"/>
              <w:spacing w:line="360" w:lineRule="auto"/>
              <w:jc w:val="center"/>
              <w:rPr>
                <w:rFonts w:ascii="Arial" w:eastAsia="Calibri" w:hAnsi="Arial" w:cs="Arial"/>
                <w:i/>
                <w:color w:val="000000"/>
                <w:sz w:val="22"/>
                <w:szCs w:val="22"/>
              </w:rPr>
            </w:pPr>
            <w:r w:rsidRPr="00E93D6E">
              <w:rPr>
                <w:rFonts w:ascii="Arial" w:eastAsia="Calibri" w:hAnsi="Arial" w:cs="Arial"/>
                <w:i/>
                <w:color w:val="000000"/>
                <w:sz w:val="22"/>
                <w:szCs w:val="22"/>
              </w:rPr>
              <w:t>185</w:t>
            </w:r>
          </w:p>
        </w:tc>
        <w:tc>
          <w:tcPr>
            <w:tcW w:w="2880" w:type="dxa"/>
          </w:tcPr>
          <w:p w:rsidR="00C9787E" w:rsidRPr="00E93D6E" w:rsidRDefault="00C9787E" w:rsidP="00B91F1C">
            <w:pPr>
              <w:tabs>
                <w:tab w:val="center" w:pos="4320"/>
                <w:tab w:val="right" w:pos="8640"/>
              </w:tabs>
              <w:autoSpaceDE w:val="0"/>
              <w:autoSpaceDN w:val="0"/>
              <w:adjustRightInd w:val="0"/>
              <w:spacing w:line="360" w:lineRule="auto"/>
              <w:jc w:val="center"/>
              <w:rPr>
                <w:rFonts w:ascii="Arial" w:eastAsia="Calibri" w:hAnsi="Arial" w:cs="Arial"/>
                <w:i/>
                <w:color w:val="000000"/>
                <w:sz w:val="22"/>
                <w:szCs w:val="22"/>
              </w:rPr>
            </w:pPr>
            <w:r w:rsidRPr="00E93D6E">
              <w:rPr>
                <w:rFonts w:ascii="Arial" w:eastAsia="Calibri" w:hAnsi="Arial" w:cs="Arial"/>
                <w:i/>
                <w:color w:val="000000"/>
                <w:sz w:val="22"/>
                <w:szCs w:val="22"/>
              </w:rPr>
              <w:t>5.40</w:t>
            </w:r>
          </w:p>
        </w:tc>
      </w:tr>
    </w:tbl>
    <w:p w:rsidR="00C9787E" w:rsidRPr="00E93D6E" w:rsidRDefault="00C9787E" w:rsidP="00B91F1C">
      <w:pPr>
        <w:autoSpaceDE w:val="0"/>
        <w:autoSpaceDN w:val="0"/>
        <w:adjustRightInd w:val="0"/>
        <w:spacing w:line="360" w:lineRule="auto"/>
        <w:jc w:val="both"/>
        <w:rPr>
          <w:rFonts w:ascii="Arial" w:eastAsia="Calibri" w:hAnsi="Arial" w:cs="Arial"/>
          <w:b/>
          <w:bCs/>
          <w:i/>
          <w:color w:val="FFFFFF"/>
          <w:sz w:val="22"/>
          <w:szCs w:val="22"/>
        </w:rPr>
      </w:pPr>
      <w:r w:rsidRPr="00E93D6E">
        <w:rPr>
          <w:rFonts w:ascii="Arial" w:eastAsia="Calibri" w:hAnsi="Arial" w:cs="Arial"/>
          <w:b/>
          <w:bCs/>
          <w:i/>
          <w:color w:val="FFFFFF"/>
          <w:sz w:val="22"/>
          <w:szCs w:val="22"/>
        </w:rPr>
        <w:t>emand charg(Rs. per KWh)</w:t>
      </w:r>
    </w:p>
    <w:p w:rsidR="00C9787E" w:rsidRPr="00E93D6E" w:rsidRDefault="00C9787E" w:rsidP="00B91F1C">
      <w:pPr>
        <w:autoSpaceDE w:val="0"/>
        <w:autoSpaceDN w:val="0"/>
        <w:adjustRightInd w:val="0"/>
        <w:spacing w:line="360" w:lineRule="auto"/>
        <w:jc w:val="both"/>
        <w:rPr>
          <w:rFonts w:ascii="Arial" w:eastAsia="Calibri" w:hAnsi="Arial" w:cs="Arial"/>
          <w:b/>
          <w:bCs/>
          <w:i/>
          <w:color w:val="000000"/>
          <w:sz w:val="22"/>
          <w:szCs w:val="22"/>
        </w:rPr>
      </w:pPr>
      <w:r w:rsidRPr="00E93D6E">
        <w:rPr>
          <w:rFonts w:ascii="Arial" w:eastAsia="Calibri" w:hAnsi="Arial" w:cs="Arial"/>
          <w:b/>
          <w:bCs/>
          <w:i/>
          <w:color w:val="000000"/>
          <w:sz w:val="22"/>
          <w:szCs w:val="22"/>
        </w:rPr>
        <w:t>3. Determination of Demand</w:t>
      </w:r>
    </w:p>
    <w:p w:rsidR="00C9787E" w:rsidRPr="00E93D6E" w:rsidRDefault="00C9787E" w:rsidP="00B91F1C">
      <w:pPr>
        <w:autoSpaceDE w:val="0"/>
        <w:autoSpaceDN w:val="0"/>
        <w:adjustRightInd w:val="0"/>
        <w:spacing w:line="360" w:lineRule="auto"/>
        <w:rPr>
          <w:rFonts w:ascii="Arial" w:eastAsia="Calibri" w:hAnsi="Arial" w:cs="Arial"/>
          <w:color w:val="000000"/>
          <w:sz w:val="22"/>
          <w:szCs w:val="22"/>
        </w:rPr>
      </w:pPr>
    </w:p>
    <w:p w:rsidR="00C9787E" w:rsidRPr="00E93D6E" w:rsidRDefault="00C9787E" w:rsidP="00B91F1C">
      <w:pPr>
        <w:autoSpaceDE w:val="0"/>
        <w:autoSpaceDN w:val="0"/>
        <w:adjustRightInd w:val="0"/>
        <w:spacing w:line="360" w:lineRule="auto"/>
        <w:rPr>
          <w:rFonts w:ascii="Arial" w:eastAsia="Calibri" w:hAnsi="Arial" w:cs="Arial"/>
          <w:i/>
          <w:color w:val="000000"/>
          <w:sz w:val="22"/>
          <w:szCs w:val="22"/>
        </w:rPr>
      </w:pPr>
      <w:r w:rsidRPr="00E93D6E">
        <w:rPr>
          <w:rFonts w:ascii="Arial" w:eastAsia="Calibri" w:hAnsi="Arial" w:cs="Arial"/>
          <w:i/>
          <w:color w:val="000000"/>
          <w:sz w:val="22"/>
          <w:szCs w:val="22"/>
        </w:rPr>
        <w:t>The maximum demand of supply in each month shall be four times the largest number of Kilo</w:t>
      </w:r>
    </w:p>
    <w:p w:rsidR="00C9787E" w:rsidRPr="00E93D6E" w:rsidRDefault="00C9787E" w:rsidP="00B91F1C">
      <w:pPr>
        <w:autoSpaceDE w:val="0"/>
        <w:autoSpaceDN w:val="0"/>
        <w:adjustRightInd w:val="0"/>
        <w:spacing w:line="360" w:lineRule="auto"/>
        <w:rPr>
          <w:rFonts w:ascii="Arial" w:eastAsia="Calibri" w:hAnsi="Arial" w:cs="Arial"/>
          <w:i/>
          <w:color w:val="000000"/>
          <w:sz w:val="22"/>
          <w:szCs w:val="22"/>
        </w:rPr>
      </w:pPr>
      <w:r w:rsidRPr="00E93D6E">
        <w:rPr>
          <w:rFonts w:ascii="Arial" w:eastAsia="Calibri" w:hAnsi="Arial" w:cs="Arial"/>
          <w:i/>
          <w:color w:val="000000"/>
          <w:sz w:val="22"/>
          <w:szCs w:val="22"/>
        </w:rPr>
        <w:t>Volt Ampere hours delivered at the point of supply during any consecutive 15 minutes during</w:t>
      </w:r>
    </w:p>
    <w:p w:rsidR="00C9787E" w:rsidRPr="00E93D6E" w:rsidRDefault="00C9787E" w:rsidP="00B91F1C">
      <w:pPr>
        <w:autoSpaceDE w:val="0"/>
        <w:autoSpaceDN w:val="0"/>
        <w:adjustRightInd w:val="0"/>
        <w:spacing w:line="360" w:lineRule="auto"/>
        <w:rPr>
          <w:rFonts w:ascii="Arial" w:eastAsia="Calibri" w:hAnsi="Arial" w:cs="Arial"/>
          <w:i/>
          <w:color w:val="000000"/>
          <w:sz w:val="22"/>
          <w:szCs w:val="22"/>
        </w:rPr>
      </w:pPr>
      <w:r w:rsidRPr="00E93D6E">
        <w:rPr>
          <w:rFonts w:ascii="Arial" w:eastAsia="Calibri" w:hAnsi="Arial" w:cs="Arial"/>
          <w:i/>
          <w:color w:val="000000"/>
          <w:sz w:val="22"/>
          <w:szCs w:val="22"/>
        </w:rPr>
        <w:t>the month as per sliding window principle of measurement of demand.</w:t>
      </w:r>
    </w:p>
    <w:p w:rsidR="00C9787E" w:rsidRPr="00E93D6E" w:rsidRDefault="00C9787E" w:rsidP="00B91F1C">
      <w:pPr>
        <w:autoSpaceDE w:val="0"/>
        <w:autoSpaceDN w:val="0"/>
        <w:adjustRightInd w:val="0"/>
        <w:spacing w:line="360" w:lineRule="auto"/>
        <w:rPr>
          <w:rFonts w:ascii="Arial" w:eastAsia="Calibri" w:hAnsi="Arial" w:cs="Arial"/>
          <w:i/>
          <w:color w:val="FFFFFF"/>
          <w:sz w:val="22"/>
          <w:szCs w:val="22"/>
        </w:rPr>
      </w:pPr>
      <w:r w:rsidRPr="00E93D6E">
        <w:rPr>
          <w:rFonts w:ascii="Arial" w:eastAsia="Calibri" w:hAnsi="Arial" w:cs="Arial"/>
          <w:i/>
          <w:color w:val="FFFFFF"/>
          <w:sz w:val="22"/>
          <w:szCs w:val="22"/>
        </w:rPr>
        <w:t>Category of consumers Demand charge= KWh)</w:t>
      </w:r>
    </w:p>
    <w:p w:rsidR="00C9787E" w:rsidRPr="00E93D6E" w:rsidRDefault="00C9787E" w:rsidP="00B91F1C">
      <w:pPr>
        <w:autoSpaceDE w:val="0"/>
        <w:autoSpaceDN w:val="0"/>
        <w:adjustRightInd w:val="0"/>
        <w:spacing w:line="360" w:lineRule="auto"/>
        <w:rPr>
          <w:rFonts w:ascii="Arial" w:eastAsia="Calibri" w:hAnsi="Arial" w:cs="Arial"/>
          <w:i/>
          <w:color w:val="000000"/>
          <w:sz w:val="22"/>
          <w:szCs w:val="22"/>
        </w:rPr>
      </w:pPr>
      <w:r w:rsidRPr="00E93D6E">
        <w:rPr>
          <w:rFonts w:ascii="Arial" w:eastAsia="Calibri" w:hAnsi="Arial" w:cs="Arial"/>
          <w:b/>
          <w:bCs/>
          <w:i/>
          <w:color w:val="000000"/>
          <w:sz w:val="22"/>
          <w:szCs w:val="22"/>
        </w:rPr>
        <w:t xml:space="preserve">4. </w:t>
      </w:r>
      <w:r w:rsidRPr="00E93D6E">
        <w:rPr>
          <w:rFonts w:ascii="Arial" w:eastAsia="Calibri" w:hAnsi="Arial" w:cs="Arial"/>
          <w:i/>
          <w:color w:val="000000"/>
          <w:sz w:val="22"/>
          <w:szCs w:val="22"/>
        </w:rPr>
        <w:t>The conditions of power factor incentive/penalty shall not be applicable as the energy charges are billed on KVAh.</w:t>
      </w:r>
    </w:p>
    <w:p w:rsidR="00C9787E" w:rsidRPr="00E93D6E" w:rsidRDefault="00C9787E" w:rsidP="00B91F1C">
      <w:pPr>
        <w:autoSpaceDE w:val="0"/>
        <w:autoSpaceDN w:val="0"/>
        <w:adjustRightInd w:val="0"/>
        <w:spacing w:line="360" w:lineRule="auto"/>
        <w:jc w:val="both"/>
        <w:rPr>
          <w:rFonts w:ascii="Arial" w:eastAsia="Calibri" w:hAnsi="Arial" w:cs="Arial"/>
          <w:b/>
          <w:bCs/>
          <w:i/>
          <w:color w:val="000000"/>
          <w:sz w:val="22"/>
          <w:szCs w:val="22"/>
        </w:rPr>
      </w:pPr>
    </w:p>
    <w:p w:rsidR="00C9787E" w:rsidRPr="00E93D6E" w:rsidRDefault="00C9787E" w:rsidP="00B91F1C">
      <w:pPr>
        <w:autoSpaceDE w:val="0"/>
        <w:autoSpaceDN w:val="0"/>
        <w:adjustRightInd w:val="0"/>
        <w:spacing w:line="360" w:lineRule="auto"/>
        <w:jc w:val="both"/>
        <w:rPr>
          <w:rFonts w:ascii="Arial" w:eastAsia="Calibri" w:hAnsi="Arial" w:cs="Arial"/>
          <w:b/>
          <w:bCs/>
          <w:i/>
          <w:color w:val="000000"/>
          <w:sz w:val="22"/>
          <w:szCs w:val="22"/>
        </w:rPr>
      </w:pPr>
      <w:r w:rsidRPr="00E93D6E">
        <w:rPr>
          <w:rFonts w:ascii="Arial" w:eastAsia="Calibri" w:hAnsi="Arial" w:cs="Arial"/>
          <w:b/>
          <w:bCs/>
          <w:i/>
          <w:color w:val="000000"/>
          <w:sz w:val="22"/>
          <w:szCs w:val="22"/>
        </w:rPr>
        <w:t>5. Conditions for start-up power consumers</w:t>
      </w:r>
    </w:p>
    <w:p w:rsidR="00C9787E" w:rsidRPr="00E93D6E" w:rsidRDefault="00C9787E" w:rsidP="00B04A3F">
      <w:pPr>
        <w:pStyle w:val="ListParagraph"/>
        <w:numPr>
          <w:ilvl w:val="0"/>
          <w:numId w:val="13"/>
        </w:numPr>
        <w:autoSpaceDE w:val="0"/>
        <w:autoSpaceDN w:val="0"/>
        <w:adjustRightInd w:val="0"/>
        <w:spacing w:after="0" w:line="360" w:lineRule="auto"/>
        <w:jc w:val="both"/>
        <w:rPr>
          <w:rFonts w:ascii="Arial" w:hAnsi="Arial" w:cs="Arial"/>
          <w:i/>
        </w:rPr>
      </w:pPr>
      <w:r w:rsidRPr="00E93D6E">
        <w:rPr>
          <w:rFonts w:ascii="Arial" w:hAnsi="Arial" w:cs="Arial"/>
          <w:i/>
        </w:rPr>
        <w:t>Contract demand shall not exceed 10% of the highest capacity of generating unit of the generating station.</w:t>
      </w:r>
    </w:p>
    <w:p w:rsidR="00C9787E" w:rsidRPr="00E93D6E" w:rsidRDefault="00C9787E" w:rsidP="00B04A3F">
      <w:pPr>
        <w:pStyle w:val="ListParagraph"/>
        <w:numPr>
          <w:ilvl w:val="0"/>
          <w:numId w:val="13"/>
        </w:numPr>
        <w:autoSpaceDE w:val="0"/>
        <w:autoSpaceDN w:val="0"/>
        <w:adjustRightInd w:val="0"/>
        <w:spacing w:after="0" w:line="360" w:lineRule="auto"/>
        <w:jc w:val="both"/>
        <w:rPr>
          <w:rFonts w:ascii="Arial" w:hAnsi="Arial" w:cs="Arial"/>
          <w:i/>
        </w:rPr>
      </w:pPr>
      <w:r w:rsidRPr="00E93D6E">
        <w:rPr>
          <w:rFonts w:ascii="Arial" w:hAnsi="Arial" w:cs="Arial"/>
          <w:i/>
        </w:rPr>
        <w:t>Drawal of power shall be restricted to within 10% of load factor based on the contract demand and actual power factor in each month. In case the load factor in a month is recorded beyond 10 %, the demand charge shall be charged atdouble the normal rate. Supply can also be disconnected if the monthly load factor exceeds 10% in any two consecutive months.</w:t>
      </w:r>
    </w:p>
    <w:p w:rsidR="00C9787E" w:rsidRPr="00E93D6E" w:rsidRDefault="00C9787E" w:rsidP="00B04A3F">
      <w:pPr>
        <w:pStyle w:val="ListParagraph"/>
        <w:numPr>
          <w:ilvl w:val="0"/>
          <w:numId w:val="13"/>
        </w:numPr>
        <w:autoSpaceDE w:val="0"/>
        <w:autoSpaceDN w:val="0"/>
        <w:adjustRightInd w:val="0"/>
        <w:spacing w:after="0" w:line="360" w:lineRule="auto"/>
        <w:jc w:val="both"/>
        <w:rPr>
          <w:rFonts w:ascii="Arial" w:hAnsi="Arial" w:cs="Arial"/>
          <w:i/>
        </w:rPr>
      </w:pPr>
      <w:r w:rsidRPr="00E93D6E">
        <w:rPr>
          <w:rFonts w:ascii="Arial" w:hAnsi="Arial" w:cs="Arial"/>
          <w:i/>
        </w:rPr>
        <w:t>Start-up power shall also be made available to the generator connected to CTU grid with proper accounting.</w:t>
      </w:r>
    </w:p>
    <w:p w:rsidR="00C9787E" w:rsidRPr="00E93D6E" w:rsidRDefault="00C9787E" w:rsidP="00B04A3F">
      <w:pPr>
        <w:pStyle w:val="ListParagraph"/>
        <w:numPr>
          <w:ilvl w:val="0"/>
          <w:numId w:val="13"/>
        </w:numPr>
        <w:autoSpaceDE w:val="0"/>
        <w:autoSpaceDN w:val="0"/>
        <w:adjustRightInd w:val="0"/>
        <w:spacing w:after="0" w:line="360" w:lineRule="auto"/>
        <w:jc w:val="both"/>
        <w:rPr>
          <w:rFonts w:ascii="Arial" w:hAnsi="Arial" w:cs="Arial"/>
          <w:i/>
        </w:rPr>
      </w:pPr>
      <w:r w:rsidRPr="00E93D6E">
        <w:rPr>
          <w:rFonts w:ascii="Arial" w:hAnsi="Arial" w:cs="Arial"/>
          <w:i/>
        </w:rPr>
        <w:t>This tariff shall also be applicable to generators before their commercial operation.</w:t>
      </w:r>
    </w:p>
    <w:p w:rsidR="00C9787E" w:rsidRPr="00E93D6E" w:rsidRDefault="00C9787E" w:rsidP="00B04A3F">
      <w:pPr>
        <w:pStyle w:val="ListParagraph"/>
        <w:numPr>
          <w:ilvl w:val="0"/>
          <w:numId w:val="13"/>
        </w:numPr>
        <w:autoSpaceDE w:val="0"/>
        <w:autoSpaceDN w:val="0"/>
        <w:adjustRightInd w:val="0"/>
        <w:spacing w:after="0" w:line="360" w:lineRule="auto"/>
        <w:jc w:val="both"/>
        <w:rPr>
          <w:rFonts w:ascii="Arial" w:hAnsi="Arial" w:cs="Arial"/>
          <w:color w:val="FFFFFF"/>
        </w:rPr>
      </w:pPr>
      <w:r w:rsidRPr="00E93D6E">
        <w:rPr>
          <w:rFonts w:ascii="Arial" w:hAnsi="Arial" w:cs="Arial"/>
          <w:i/>
        </w:rPr>
        <w:t xml:space="preserve">  In case of generators who have not availed start-up connection but eventually draws power from the grid shall be billed @ Rs 10.29 per kWh it as per the average billing rate for this tariff, which includes demand charge also.</w:t>
      </w:r>
    </w:p>
    <w:p w:rsidR="00C9787E" w:rsidRPr="00E93D6E" w:rsidRDefault="00C9787E" w:rsidP="00B04A3F">
      <w:pPr>
        <w:pStyle w:val="ListParagraph"/>
        <w:numPr>
          <w:ilvl w:val="0"/>
          <w:numId w:val="13"/>
        </w:numPr>
        <w:autoSpaceDE w:val="0"/>
        <w:autoSpaceDN w:val="0"/>
        <w:adjustRightInd w:val="0"/>
        <w:spacing w:after="0" w:line="360" w:lineRule="auto"/>
        <w:jc w:val="both"/>
        <w:rPr>
          <w:rFonts w:ascii="Arial" w:hAnsi="Arial" w:cs="Arial"/>
          <w:color w:val="FFFFFF"/>
        </w:rPr>
      </w:pPr>
      <w:r w:rsidRPr="00E93D6E">
        <w:rPr>
          <w:rFonts w:ascii="Arial" w:hAnsi="Arial" w:cs="Arial"/>
          <w:i/>
        </w:rPr>
        <w:t xml:space="preserve">The biomass-based generators are exempted from payment of demand charge for the first five years from the date of availing start-up connection i.e. they are required to pay energy charge only during first five years of availing start-up power and full start-up tariff from sixth year onwards. However, in case during first five years from the date of its connection, if it's actual demand exceeds the contract demand, the billing for that month shall be as per other start-up power consumer exceeding contract demand. In case, it is established that the biomass based generator has used biomass in the </w:t>
      </w:r>
      <w:r w:rsidRPr="00E93D6E">
        <w:rPr>
          <w:rFonts w:ascii="Arial" w:hAnsi="Arial" w:cs="Arial"/>
          <w:i/>
        </w:rPr>
        <w:lastRenderedPageBreak/>
        <w:t>lesser ratio than as mentioned in the guidelines of the Ministry of New and Renewable Energy during any financial year in first five years from the date of availing start up power connection then demand charge as per this tariff category (HV– 8) shall also become payable for the whole such financial year and such payable amount will be billed in three equal installments after such happening comes in the notice of the CSPDCL</w:t>
      </w:r>
      <w:r w:rsidR="00BC5318">
        <w:rPr>
          <w:rFonts w:ascii="Arial" w:hAnsi="Arial" w:cs="Arial"/>
          <w:i/>
        </w:rPr>
        <w:t>.</w:t>
      </w:r>
      <w:r w:rsidRPr="00E93D6E">
        <w:rPr>
          <w:rFonts w:ascii="Arial" w:hAnsi="Arial" w:cs="Arial"/>
          <w:i/>
        </w:rPr>
        <w:t>.</w:t>
      </w:r>
      <w:r w:rsidRPr="00E93D6E">
        <w:rPr>
          <w:rFonts w:ascii="Arial" w:hAnsi="Arial" w:cs="Arial"/>
          <w:i/>
          <w:color w:val="FFFFFF"/>
        </w:rPr>
        <w:t>at</w:t>
      </w:r>
      <w:r w:rsidRPr="00E93D6E">
        <w:rPr>
          <w:rFonts w:ascii="Arial" w:hAnsi="Arial" w:cs="Arial"/>
          <w:color w:val="FFFFFF"/>
        </w:rPr>
        <w:t>egory of consumers Demand charge</w:t>
      </w:r>
    </w:p>
    <w:p w:rsidR="00C9787E" w:rsidRPr="00E93D6E" w:rsidRDefault="00BA4217" w:rsidP="004109A6">
      <w:pPr>
        <w:pStyle w:val="BodyText"/>
        <w:spacing w:line="360" w:lineRule="auto"/>
        <w:jc w:val="both"/>
        <w:rPr>
          <w:rFonts w:ascii="Arial" w:hAnsi="Arial" w:cs="Arial"/>
          <w:sz w:val="22"/>
          <w:szCs w:val="22"/>
        </w:rPr>
      </w:pPr>
      <w:r w:rsidRPr="00E93D6E">
        <w:rPr>
          <w:rFonts w:ascii="Arial" w:hAnsi="Arial" w:cs="Arial"/>
          <w:b/>
          <w:sz w:val="22"/>
          <w:szCs w:val="22"/>
          <w:lang w:val="en-GB"/>
        </w:rPr>
        <w:t xml:space="preserve">The Licensee humbly submit the Hon’ble Commission to consider </w:t>
      </w:r>
      <w:r w:rsidR="00C9787E" w:rsidRPr="00E93D6E">
        <w:rPr>
          <w:rFonts w:ascii="Arial" w:hAnsi="Arial" w:cs="Arial"/>
          <w:b/>
          <w:sz w:val="22"/>
          <w:szCs w:val="22"/>
          <w:lang w:val="en-GB"/>
        </w:rPr>
        <w:t>Tariff for start-up power for IPP/ CGPs proposed for state of Odisha</w:t>
      </w:r>
      <w:r w:rsidRPr="00E93D6E">
        <w:rPr>
          <w:rFonts w:ascii="Arial" w:hAnsi="Arial" w:cs="Arial"/>
          <w:b/>
          <w:sz w:val="22"/>
          <w:szCs w:val="22"/>
          <w:lang w:val="en-GB"/>
        </w:rPr>
        <w:t xml:space="preserve"> The proposal of the Licensee is as under;</w:t>
      </w:r>
    </w:p>
    <w:p w:rsidR="00C9787E" w:rsidRPr="00E93D6E" w:rsidRDefault="00BA4217" w:rsidP="00B04A3F">
      <w:pPr>
        <w:numPr>
          <w:ilvl w:val="0"/>
          <w:numId w:val="14"/>
        </w:numPr>
        <w:spacing w:line="360" w:lineRule="auto"/>
        <w:rPr>
          <w:rFonts w:ascii="Arial" w:hAnsi="Arial" w:cs="Arial"/>
          <w:b/>
          <w:sz w:val="22"/>
          <w:szCs w:val="22"/>
        </w:rPr>
      </w:pPr>
      <w:r w:rsidRPr="00E93D6E">
        <w:rPr>
          <w:rFonts w:ascii="Arial" w:hAnsi="Arial" w:cs="Arial"/>
          <w:b/>
          <w:sz w:val="22"/>
          <w:szCs w:val="22"/>
        </w:rPr>
        <w:t xml:space="preserve">Proposed </w:t>
      </w:r>
      <w:r w:rsidR="00C9787E" w:rsidRPr="00E93D6E">
        <w:rPr>
          <w:rFonts w:ascii="Arial" w:hAnsi="Arial" w:cs="Arial"/>
          <w:b/>
          <w:sz w:val="22"/>
          <w:szCs w:val="22"/>
        </w:rPr>
        <w:t xml:space="preserve">Tariff </w:t>
      </w:r>
    </w:p>
    <w:p w:rsidR="00C9787E" w:rsidRPr="00E93D6E" w:rsidRDefault="00C9787E" w:rsidP="00B91F1C">
      <w:pPr>
        <w:spacing w:line="360" w:lineRule="auto"/>
        <w:rPr>
          <w:rFonts w:ascii="Arial" w:hAnsi="Arial"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3240"/>
        <w:gridCol w:w="2088"/>
      </w:tblGrid>
      <w:tr w:rsidR="00C9787E" w:rsidRPr="00E93D6E">
        <w:tc>
          <w:tcPr>
            <w:tcW w:w="2700" w:type="dxa"/>
          </w:tcPr>
          <w:p w:rsidR="00C9787E" w:rsidRPr="00E93D6E" w:rsidRDefault="00C9787E" w:rsidP="00B91F1C">
            <w:pPr>
              <w:tabs>
                <w:tab w:val="center" w:pos="4320"/>
                <w:tab w:val="right" w:pos="8640"/>
              </w:tabs>
              <w:spacing w:line="360" w:lineRule="auto"/>
              <w:rPr>
                <w:rFonts w:ascii="Arial" w:hAnsi="Arial" w:cs="Arial"/>
                <w:sz w:val="22"/>
                <w:szCs w:val="22"/>
              </w:rPr>
            </w:pPr>
            <w:r w:rsidRPr="00E93D6E">
              <w:rPr>
                <w:rFonts w:ascii="Arial" w:hAnsi="Arial" w:cs="Arial"/>
                <w:sz w:val="22"/>
                <w:szCs w:val="22"/>
              </w:rPr>
              <w:t xml:space="preserve">Category of Consumers </w:t>
            </w:r>
          </w:p>
        </w:tc>
        <w:tc>
          <w:tcPr>
            <w:tcW w:w="3240" w:type="dxa"/>
          </w:tcPr>
          <w:p w:rsidR="00C9787E" w:rsidRPr="00E93D6E" w:rsidRDefault="00C9787E" w:rsidP="00B91F1C">
            <w:pPr>
              <w:tabs>
                <w:tab w:val="center" w:pos="4320"/>
                <w:tab w:val="right" w:pos="8640"/>
              </w:tabs>
              <w:spacing w:line="360" w:lineRule="auto"/>
              <w:rPr>
                <w:rFonts w:ascii="Arial" w:hAnsi="Arial" w:cs="Arial"/>
                <w:sz w:val="22"/>
                <w:szCs w:val="22"/>
              </w:rPr>
            </w:pPr>
            <w:r w:rsidRPr="00E93D6E">
              <w:rPr>
                <w:rFonts w:ascii="Arial" w:hAnsi="Arial" w:cs="Arial"/>
                <w:sz w:val="22"/>
                <w:szCs w:val="22"/>
              </w:rPr>
              <w:t xml:space="preserve">Demand Charges Rs / KVA/ Month </w:t>
            </w:r>
          </w:p>
        </w:tc>
        <w:tc>
          <w:tcPr>
            <w:tcW w:w="2088" w:type="dxa"/>
          </w:tcPr>
          <w:p w:rsidR="00C9787E" w:rsidRPr="00E93D6E" w:rsidRDefault="00C9787E" w:rsidP="00B91F1C">
            <w:pPr>
              <w:tabs>
                <w:tab w:val="center" w:pos="4320"/>
                <w:tab w:val="right" w:pos="8640"/>
              </w:tabs>
              <w:spacing w:line="360" w:lineRule="auto"/>
              <w:rPr>
                <w:rFonts w:ascii="Arial" w:hAnsi="Arial" w:cs="Arial"/>
                <w:sz w:val="22"/>
                <w:szCs w:val="22"/>
              </w:rPr>
            </w:pPr>
            <w:r w:rsidRPr="00E93D6E">
              <w:rPr>
                <w:rFonts w:ascii="Arial" w:hAnsi="Arial" w:cs="Arial"/>
                <w:sz w:val="22"/>
                <w:szCs w:val="22"/>
              </w:rPr>
              <w:t>Energy Charges ( Rs per Kwh )</w:t>
            </w:r>
          </w:p>
        </w:tc>
      </w:tr>
      <w:tr w:rsidR="00916179" w:rsidRPr="00E93D6E">
        <w:tc>
          <w:tcPr>
            <w:tcW w:w="2700" w:type="dxa"/>
          </w:tcPr>
          <w:p w:rsidR="00916179" w:rsidRPr="00E93D6E" w:rsidRDefault="00916179" w:rsidP="00B91F1C">
            <w:pPr>
              <w:tabs>
                <w:tab w:val="center" w:pos="4320"/>
                <w:tab w:val="right" w:pos="8640"/>
              </w:tabs>
              <w:spacing w:line="360" w:lineRule="auto"/>
              <w:rPr>
                <w:rFonts w:ascii="Arial" w:hAnsi="Arial" w:cs="Arial"/>
                <w:sz w:val="22"/>
                <w:szCs w:val="22"/>
              </w:rPr>
            </w:pPr>
            <w:r w:rsidRPr="00E93D6E">
              <w:rPr>
                <w:rFonts w:ascii="Arial" w:hAnsi="Arial" w:cs="Arial"/>
                <w:sz w:val="22"/>
                <w:szCs w:val="22"/>
              </w:rPr>
              <w:t>EHT Consumers</w:t>
            </w:r>
          </w:p>
        </w:tc>
        <w:tc>
          <w:tcPr>
            <w:tcW w:w="3240" w:type="dxa"/>
          </w:tcPr>
          <w:p w:rsidR="00916179" w:rsidRPr="00E93D6E" w:rsidRDefault="00916179" w:rsidP="00BC5318">
            <w:pPr>
              <w:tabs>
                <w:tab w:val="center" w:pos="4320"/>
                <w:tab w:val="right" w:pos="8640"/>
              </w:tabs>
              <w:spacing w:line="360" w:lineRule="auto"/>
              <w:jc w:val="center"/>
              <w:rPr>
                <w:rFonts w:ascii="Arial" w:hAnsi="Arial" w:cs="Arial"/>
                <w:sz w:val="22"/>
                <w:szCs w:val="22"/>
              </w:rPr>
            </w:pPr>
            <w:r w:rsidRPr="00E93D6E">
              <w:rPr>
                <w:rFonts w:ascii="Arial" w:hAnsi="Arial" w:cs="Arial"/>
                <w:sz w:val="22"/>
                <w:szCs w:val="22"/>
              </w:rPr>
              <w:t>250</w:t>
            </w:r>
          </w:p>
        </w:tc>
        <w:tc>
          <w:tcPr>
            <w:tcW w:w="2088" w:type="dxa"/>
          </w:tcPr>
          <w:p w:rsidR="00916179" w:rsidRPr="00E93D6E" w:rsidRDefault="00916179" w:rsidP="00BC5318">
            <w:pPr>
              <w:tabs>
                <w:tab w:val="center" w:pos="4320"/>
                <w:tab w:val="right" w:pos="8640"/>
              </w:tabs>
              <w:spacing w:line="360" w:lineRule="auto"/>
              <w:jc w:val="center"/>
              <w:rPr>
                <w:rFonts w:ascii="Arial" w:hAnsi="Arial" w:cs="Arial"/>
                <w:sz w:val="22"/>
                <w:szCs w:val="22"/>
              </w:rPr>
            </w:pPr>
            <w:r w:rsidRPr="00E93D6E">
              <w:rPr>
                <w:rFonts w:ascii="Arial" w:hAnsi="Arial" w:cs="Arial"/>
                <w:sz w:val="22"/>
                <w:szCs w:val="22"/>
              </w:rPr>
              <w:t>6.95</w:t>
            </w:r>
          </w:p>
        </w:tc>
      </w:tr>
      <w:tr w:rsidR="00916179" w:rsidRPr="00E93D6E">
        <w:tc>
          <w:tcPr>
            <w:tcW w:w="2700" w:type="dxa"/>
          </w:tcPr>
          <w:p w:rsidR="00916179" w:rsidRPr="00E93D6E" w:rsidRDefault="00916179" w:rsidP="00B91F1C">
            <w:pPr>
              <w:tabs>
                <w:tab w:val="center" w:pos="4320"/>
                <w:tab w:val="right" w:pos="8640"/>
              </w:tabs>
              <w:spacing w:line="360" w:lineRule="auto"/>
              <w:rPr>
                <w:rFonts w:ascii="Arial" w:hAnsi="Arial" w:cs="Arial"/>
                <w:sz w:val="22"/>
                <w:szCs w:val="22"/>
              </w:rPr>
            </w:pPr>
            <w:r w:rsidRPr="00E93D6E">
              <w:rPr>
                <w:rFonts w:ascii="Arial" w:hAnsi="Arial" w:cs="Arial"/>
                <w:sz w:val="22"/>
                <w:szCs w:val="22"/>
              </w:rPr>
              <w:t>HT Consumers</w:t>
            </w:r>
          </w:p>
        </w:tc>
        <w:tc>
          <w:tcPr>
            <w:tcW w:w="3240" w:type="dxa"/>
          </w:tcPr>
          <w:p w:rsidR="00916179" w:rsidRPr="00E93D6E" w:rsidRDefault="00916179" w:rsidP="00BC5318">
            <w:pPr>
              <w:tabs>
                <w:tab w:val="center" w:pos="4320"/>
                <w:tab w:val="right" w:pos="8640"/>
              </w:tabs>
              <w:spacing w:line="360" w:lineRule="auto"/>
              <w:jc w:val="center"/>
              <w:rPr>
                <w:rFonts w:ascii="Arial" w:hAnsi="Arial" w:cs="Arial"/>
                <w:sz w:val="22"/>
                <w:szCs w:val="22"/>
              </w:rPr>
            </w:pPr>
            <w:r w:rsidRPr="00E93D6E">
              <w:rPr>
                <w:rFonts w:ascii="Arial" w:hAnsi="Arial" w:cs="Arial"/>
                <w:sz w:val="22"/>
                <w:szCs w:val="22"/>
              </w:rPr>
              <w:t>250</w:t>
            </w:r>
          </w:p>
        </w:tc>
        <w:tc>
          <w:tcPr>
            <w:tcW w:w="2088" w:type="dxa"/>
          </w:tcPr>
          <w:p w:rsidR="00916179" w:rsidRPr="00E93D6E" w:rsidRDefault="00916179" w:rsidP="00BC5318">
            <w:pPr>
              <w:tabs>
                <w:tab w:val="center" w:pos="4320"/>
                <w:tab w:val="right" w:pos="8640"/>
              </w:tabs>
              <w:spacing w:line="360" w:lineRule="auto"/>
              <w:jc w:val="center"/>
              <w:rPr>
                <w:rFonts w:ascii="Arial" w:hAnsi="Arial" w:cs="Arial"/>
                <w:sz w:val="22"/>
                <w:szCs w:val="22"/>
              </w:rPr>
            </w:pPr>
            <w:r w:rsidRPr="00E93D6E">
              <w:rPr>
                <w:rFonts w:ascii="Arial" w:hAnsi="Arial" w:cs="Arial"/>
                <w:sz w:val="22"/>
                <w:szCs w:val="22"/>
              </w:rPr>
              <w:t>7</w:t>
            </w:r>
          </w:p>
        </w:tc>
      </w:tr>
    </w:tbl>
    <w:p w:rsidR="00C9787E" w:rsidRPr="00E93D6E" w:rsidRDefault="00C9787E" w:rsidP="00B91F1C">
      <w:pPr>
        <w:spacing w:line="360" w:lineRule="auto"/>
        <w:rPr>
          <w:rFonts w:ascii="Arial" w:hAnsi="Arial" w:cs="Arial"/>
          <w:sz w:val="22"/>
          <w:szCs w:val="22"/>
        </w:rPr>
      </w:pPr>
    </w:p>
    <w:p w:rsidR="00C9787E" w:rsidRPr="00E93D6E" w:rsidRDefault="00BA4217" w:rsidP="00B04A3F">
      <w:pPr>
        <w:numPr>
          <w:ilvl w:val="0"/>
          <w:numId w:val="14"/>
        </w:numPr>
        <w:spacing w:line="360" w:lineRule="auto"/>
        <w:rPr>
          <w:rFonts w:ascii="Arial" w:hAnsi="Arial" w:cs="Arial"/>
          <w:b/>
          <w:sz w:val="22"/>
          <w:szCs w:val="22"/>
        </w:rPr>
      </w:pPr>
      <w:r w:rsidRPr="00E93D6E">
        <w:rPr>
          <w:rFonts w:ascii="Arial" w:hAnsi="Arial" w:cs="Arial"/>
          <w:b/>
          <w:sz w:val="22"/>
          <w:szCs w:val="22"/>
        </w:rPr>
        <w:t xml:space="preserve">Proposed </w:t>
      </w:r>
      <w:r w:rsidR="00C9787E" w:rsidRPr="00E93D6E">
        <w:rPr>
          <w:rFonts w:ascii="Arial" w:hAnsi="Arial" w:cs="Arial"/>
          <w:b/>
          <w:sz w:val="22"/>
          <w:szCs w:val="22"/>
        </w:rPr>
        <w:t>Condition for Start-up Power supply</w:t>
      </w:r>
      <w:r w:rsidRPr="00E93D6E">
        <w:rPr>
          <w:rFonts w:ascii="Arial" w:hAnsi="Arial" w:cs="Arial"/>
          <w:b/>
          <w:sz w:val="22"/>
          <w:szCs w:val="22"/>
        </w:rPr>
        <w:t xml:space="preserve"> to CGP</w:t>
      </w:r>
      <w:r w:rsidR="00C9787E" w:rsidRPr="00E93D6E">
        <w:rPr>
          <w:rFonts w:ascii="Arial" w:hAnsi="Arial" w:cs="Arial"/>
          <w:b/>
          <w:sz w:val="22"/>
          <w:szCs w:val="22"/>
        </w:rPr>
        <w:t xml:space="preserve"> : </w:t>
      </w:r>
    </w:p>
    <w:p w:rsidR="00C9787E" w:rsidRPr="00E93D6E" w:rsidRDefault="00C9787E" w:rsidP="00B04A3F">
      <w:pPr>
        <w:pStyle w:val="ListParagraph"/>
        <w:numPr>
          <w:ilvl w:val="0"/>
          <w:numId w:val="15"/>
        </w:numPr>
        <w:tabs>
          <w:tab w:val="clear" w:pos="720"/>
          <w:tab w:val="num" w:pos="1350"/>
        </w:tabs>
        <w:spacing w:after="0" w:line="360" w:lineRule="auto"/>
        <w:ind w:left="1350" w:hanging="180"/>
        <w:jc w:val="both"/>
        <w:rPr>
          <w:rFonts w:ascii="Arial" w:eastAsia="Times New Roman" w:hAnsi="Arial" w:cs="Arial"/>
        </w:rPr>
      </w:pPr>
      <w:r w:rsidRPr="00E93D6E">
        <w:rPr>
          <w:rFonts w:ascii="Arial" w:eastAsia="Times New Roman" w:hAnsi="Arial" w:cs="Arial"/>
        </w:rPr>
        <w:t>Industries having CGPs to avail Start-Up power their Contr</w:t>
      </w:r>
      <w:r w:rsidR="001453F6">
        <w:rPr>
          <w:rFonts w:ascii="Arial" w:eastAsia="Times New Roman" w:hAnsi="Arial" w:cs="Arial"/>
        </w:rPr>
        <w:t>act Demand should not exceed 12</w:t>
      </w:r>
      <w:r w:rsidRPr="00E93D6E">
        <w:rPr>
          <w:rFonts w:ascii="Arial" w:eastAsia="Times New Roman" w:hAnsi="Arial" w:cs="Arial"/>
        </w:rPr>
        <w:t>% of the capacity of the highest capacity Generating units of the CGP. Consumer</w:t>
      </w:r>
      <w:r w:rsidR="001453F6">
        <w:rPr>
          <w:rFonts w:ascii="Arial" w:eastAsia="Times New Roman" w:hAnsi="Arial" w:cs="Arial"/>
        </w:rPr>
        <w:t>s</w:t>
      </w:r>
      <w:r w:rsidRPr="00E93D6E">
        <w:rPr>
          <w:rFonts w:ascii="Arial" w:eastAsia="Times New Roman" w:hAnsi="Arial" w:cs="Arial"/>
        </w:rPr>
        <w:t xml:space="preserve"> have to enter into an agreementwith the concernedDISCOMs subject to technical feasibility and availability of required quantum of power/energy.</w:t>
      </w:r>
    </w:p>
    <w:p w:rsidR="00C9787E" w:rsidRPr="00E93D6E" w:rsidRDefault="00C9787E" w:rsidP="00B04A3F">
      <w:pPr>
        <w:pStyle w:val="ListParagraph"/>
        <w:numPr>
          <w:ilvl w:val="0"/>
          <w:numId w:val="15"/>
        </w:numPr>
        <w:tabs>
          <w:tab w:val="clear" w:pos="720"/>
          <w:tab w:val="num" w:pos="1350"/>
        </w:tabs>
        <w:spacing w:after="0" w:line="360" w:lineRule="auto"/>
        <w:ind w:left="1350" w:hanging="180"/>
        <w:jc w:val="both"/>
        <w:rPr>
          <w:rFonts w:ascii="Arial" w:eastAsia="Times New Roman" w:hAnsi="Arial" w:cs="Arial"/>
        </w:rPr>
      </w:pPr>
      <w:r w:rsidRPr="00E93D6E">
        <w:rPr>
          <w:rFonts w:ascii="Arial" w:eastAsia="Times New Roman" w:hAnsi="Arial" w:cs="Arial"/>
        </w:rPr>
        <w:t>Drawal of Power s</w:t>
      </w:r>
      <w:r w:rsidR="001453F6">
        <w:rPr>
          <w:rFonts w:ascii="Arial" w:eastAsia="Times New Roman" w:hAnsi="Arial" w:cs="Arial"/>
        </w:rPr>
        <w:t>hall be restricted to within 10</w:t>
      </w:r>
      <w:r w:rsidRPr="00E93D6E">
        <w:rPr>
          <w:rFonts w:ascii="Arial" w:eastAsia="Times New Roman" w:hAnsi="Arial" w:cs="Arial"/>
        </w:rPr>
        <w:t>% of load factor based on the contract demand and actual power factor in each month. If the load factor i</w:t>
      </w:r>
      <w:r w:rsidR="001453F6">
        <w:rPr>
          <w:rFonts w:ascii="Arial" w:eastAsia="Times New Roman" w:hAnsi="Arial" w:cs="Arial"/>
        </w:rPr>
        <w:t>n a month is recorded beyond 10</w:t>
      </w:r>
      <w:r w:rsidRPr="00E93D6E">
        <w:rPr>
          <w:rFonts w:ascii="Arial" w:eastAsia="Times New Roman" w:hAnsi="Arial" w:cs="Arial"/>
        </w:rPr>
        <w:t xml:space="preserve">% the demand charge shall be charged at double the normal rate. Supply can also be disconnected if the monthly load factor exceeds 10% in any two consecutive month.  </w:t>
      </w:r>
    </w:p>
    <w:p w:rsidR="00C9787E" w:rsidRPr="00E93D6E" w:rsidRDefault="00C9787E" w:rsidP="00B04A3F">
      <w:pPr>
        <w:pStyle w:val="ListParagraph"/>
        <w:numPr>
          <w:ilvl w:val="0"/>
          <w:numId w:val="15"/>
        </w:numPr>
        <w:tabs>
          <w:tab w:val="clear" w:pos="720"/>
          <w:tab w:val="num" w:pos="1350"/>
        </w:tabs>
        <w:spacing w:after="0" w:line="360" w:lineRule="auto"/>
        <w:ind w:left="1350" w:hanging="180"/>
        <w:jc w:val="both"/>
        <w:rPr>
          <w:rFonts w:ascii="Arial" w:eastAsia="Times New Roman" w:hAnsi="Arial" w:cs="Arial"/>
        </w:rPr>
      </w:pPr>
      <w:r w:rsidRPr="00E93D6E">
        <w:rPr>
          <w:rFonts w:ascii="Arial" w:eastAsia="Times New Roman" w:hAnsi="Arial" w:cs="Arial"/>
        </w:rPr>
        <w:t>This tariff shall also be applicable</w:t>
      </w:r>
      <w:r w:rsidR="001453F6">
        <w:rPr>
          <w:rFonts w:ascii="Arial" w:eastAsia="Times New Roman" w:hAnsi="Arial" w:cs="Arial"/>
        </w:rPr>
        <w:t xml:space="preserve"> to such generator(s) for start</w:t>
      </w:r>
      <w:r w:rsidRPr="00E93D6E">
        <w:rPr>
          <w:rFonts w:ascii="Arial" w:eastAsia="Times New Roman" w:hAnsi="Arial" w:cs="Arial"/>
        </w:rPr>
        <w:t xml:space="preserve">up purpose prior to their COD. </w:t>
      </w:r>
    </w:p>
    <w:p w:rsidR="00C9787E" w:rsidRPr="00E93D6E" w:rsidRDefault="00C9787E" w:rsidP="00B04A3F">
      <w:pPr>
        <w:pStyle w:val="ListParagraph"/>
        <w:numPr>
          <w:ilvl w:val="0"/>
          <w:numId w:val="15"/>
        </w:numPr>
        <w:tabs>
          <w:tab w:val="clear" w:pos="720"/>
          <w:tab w:val="num" w:pos="1350"/>
        </w:tabs>
        <w:spacing w:after="0" w:line="360" w:lineRule="auto"/>
        <w:ind w:left="1350" w:hanging="180"/>
        <w:jc w:val="both"/>
        <w:rPr>
          <w:rFonts w:ascii="Arial" w:eastAsia="Times New Roman" w:hAnsi="Arial" w:cs="Arial"/>
        </w:rPr>
      </w:pPr>
      <w:r w:rsidRPr="00E93D6E">
        <w:rPr>
          <w:rFonts w:ascii="Arial" w:eastAsia="Times New Roman" w:hAnsi="Arial" w:cs="Arial"/>
        </w:rPr>
        <w:t>Start-up power shall also be made available to the generator connected to CTU grid with proper accounting done in monthly Regional Energy</w:t>
      </w:r>
      <w:r w:rsidR="001453F6">
        <w:rPr>
          <w:rFonts w:ascii="Arial" w:eastAsia="Times New Roman" w:hAnsi="Arial" w:cs="Arial"/>
        </w:rPr>
        <w:t xml:space="preserve"> Accounting prepared by ERPC. (</w:t>
      </w:r>
      <w:r w:rsidRPr="00E93D6E">
        <w:rPr>
          <w:rFonts w:ascii="Arial" w:eastAsia="Times New Roman" w:hAnsi="Arial" w:cs="Arial"/>
        </w:rPr>
        <w:t>New IPPS are coming in future, which may also be connected to CTU grid directly)</w:t>
      </w:r>
      <w:r w:rsidR="001453F6">
        <w:rPr>
          <w:rFonts w:ascii="Arial" w:eastAsia="Times New Roman" w:hAnsi="Arial" w:cs="Arial"/>
        </w:rPr>
        <w:t>.</w:t>
      </w:r>
    </w:p>
    <w:p w:rsidR="00C9787E" w:rsidRPr="00BC5318" w:rsidRDefault="00C9787E" w:rsidP="00CF66A5">
      <w:pPr>
        <w:pStyle w:val="Heading1"/>
        <w:numPr>
          <w:ilvl w:val="1"/>
          <w:numId w:val="49"/>
        </w:numPr>
        <w:spacing w:line="360" w:lineRule="auto"/>
        <w:jc w:val="both"/>
        <w:rPr>
          <w:sz w:val="22"/>
          <w:szCs w:val="22"/>
        </w:rPr>
      </w:pPr>
      <w:bookmarkStart w:id="115" w:name="_Toc404940211"/>
      <w:r w:rsidRPr="00BC5318">
        <w:rPr>
          <w:sz w:val="22"/>
          <w:szCs w:val="22"/>
        </w:rPr>
        <w:lastRenderedPageBreak/>
        <w:t xml:space="preserve">Exclusion of Meter Rentas </w:t>
      </w:r>
      <w:r w:rsidR="00BA4217" w:rsidRPr="00BC5318">
        <w:rPr>
          <w:sz w:val="22"/>
          <w:szCs w:val="22"/>
        </w:rPr>
        <w:t xml:space="preserve">Misc </w:t>
      </w:r>
      <w:r w:rsidRPr="00BC5318">
        <w:rPr>
          <w:sz w:val="22"/>
          <w:szCs w:val="22"/>
        </w:rPr>
        <w:t xml:space="preserve">Revenue in </w:t>
      </w:r>
      <w:r w:rsidR="004F3A4D">
        <w:rPr>
          <w:sz w:val="22"/>
          <w:szCs w:val="22"/>
        </w:rPr>
        <w:t>Licensee’s</w:t>
      </w:r>
      <w:r w:rsidRPr="00BC5318">
        <w:rPr>
          <w:sz w:val="22"/>
          <w:szCs w:val="22"/>
        </w:rPr>
        <w:t xml:space="preserve"> A</w:t>
      </w:r>
      <w:r w:rsidR="001C5FC6" w:rsidRPr="00BC5318">
        <w:rPr>
          <w:sz w:val="22"/>
          <w:szCs w:val="22"/>
        </w:rPr>
        <w:t>RR</w:t>
      </w:r>
      <w:bookmarkEnd w:id="115"/>
    </w:p>
    <w:p w:rsidR="00C9787E" w:rsidRPr="00E93D6E" w:rsidRDefault="00C9787E" w:rsidP="00B91F1C">
      <w:pPr>
        <w:pStyle w:val="ListParagraph"/>
        <w:spacing w:line="360" w:lineRule="auto"/>
        <w:ind w:left="360"/>
        <w:jc w:val="both"/>
        <w:rPr>
          <w:rFonts w:ascii="Arial" w:hAnsi="Arial" w:cs="Arial"/>
        </w:rPr>
      </w:pPr>
      <w:r w:rsidRPr="00E93D6E">
        <w:rPr>
          <w:rFonts w:ascii="Arial" w:hAnsi="Arial" w:cs="Arial"/>
        </w:rPr>
        <w:t xml:space="preserve">It is the submission of the </w:t>
      </w:r>
      <w:r w:rsidR="004F3A4D">
        <w:rPr>
          <w:rFonts w:ascii="Arial" w:hAnsi="Arial" w:cs="Arial"/>
        </w:rPr>
        <w:t>Licensee</w:t>
      </w:r>
      <w:r w:rsidRPr="00E93D6E">
        <w:rPr>
          <w:rFonts w:ascii="Arial" w:hAnsi="Arial" w:cs="Arial"/>
        </w:rPr>
        <w:t xml:space="preserve"> that</w:t>
      </w:r>
      <w:r w:rsidR="004F3A4D">
        <w:rPr>
          <w:rFonts w:ascii="Arial" w:hAnsi="Arial" w:cs="Arial"/>
        </w:rPr>
        <w:t>,</w:t>
      </w:r>
      <w:r w:rsidRPr="00E93D6E">
        <w:rPr>
          <w:rFonts w:ascii="Arial" w:hAnsi="Arial" w:cs="Arial"/>
        </w:rPr>
        <w:t xml:space="preserve"> inclusion of meter rent as miscellan</w:t>
      </w:r>
      <w:r w:rsidR="004F3A4D">
        <w:rPr>
          <w:rFonts w:ascii="Arial" w:hAnsi="Arial" w:cs="Arial"/>
        </w:rPr>
        <w:t xml:space="preserve">eous income/ revenue receipts </w:t>
      </w:r>
      <w:r w:rsidRPr="00E93D6E">
        <w:rPr>
          <w:rFonts w:ascii="Arial" w:hAnsi="Arial" w:cs="Arial"/>
        </w:rPr>
        <w:t xml:space="preserve">in the ARR ought to be discontinued as expenditure on purchase of meters is treated as a capital expenditure. On several instances, the Discoms have been asked to provide for meters in social welfare schemes such as Mega Lift Irrigation points, which taking into account the precarious financial position is difficult. The </w:t>
      </w:r>
      <w:r w:rsidR="001B52D2" w:rsidRPr="00E93D6E">
        <w:rPr>
          <w:rFonts w:ascii="Arial" w:hAnsi="Arial" w:cs="Arial"/>
        </w:rPr>
        <w:t>Hon’ble</w:t>
      </w:r>
      <w:r w:rsidRPr="00E93D6E">
        <w:rPr>
          <w:rFonts w:ascii="Arial" w:hAnsi="Arial" w:cs="Arial"/>
        </w:rPr>
        <w:t xml:space="preserve"> Commission has also suggested the utilization of meter rent for procurement of meters. Accordingly, </w:t>
      </w:r>
      <w:r w:rsidR="00990EBA" w:rsidRPr="00E93D6E">
        <w:rPr>
          <w:rFonts w:ascii="Arial" w:hAnsi="Arial" w:cs="Arial"/>
        </w:rPr>
        <w:t>t</w:t>
      </w:r>
      <w:r w:rsidRPr="00E93D6E">
        <w:rPr>
          <w:rFonts w:ascii="Arial" w:hAnsi="Arial" w:cs="Arial"/>
        </w:rPr>
        <w:t xml:space="preserve">he meter rent which is allowed to be recovered up-to the cost of the meter is proposed to be used for purchase of new meters. Reference is made to </w:t>
      </w:r>
      <w:r w:rsidRPr="00E93D6E">
        <w:rPr>
          <w:rFonts w:ascii="Arial" w:hAnsi="Arial" w:cs="Arial"/>
          <w:u w:val="single"/>
        </w:rPr>
        <w:t xml:space="preserve">Judgment of the </w:t>
      </w:r>
      <w:r w:rsidR="001B52D2" w:rsidRPr="00E93D6E">
        <w:rPr>
          <w:rFonts w:ascii="Arial" w:hAnsi="Arial" w:cs="Arial"/>
          <w:u w:val="single"/>
        </w:rPr>
        <w:t>Hon’ble</w:t>
      </w:r>
      <w:r w:rsidRPr="00E93D6E">
        <w:rPr>
          <w:rFonts w:ascii="Arial" w:hAnsi="Arial" w:cs="Arial"/>
          <w:u w:val="single"/>
        </w:rPr>
        <w:t xml:space="preserve"> ATE</w:t>
      </w:r>
      <w:r w:rsidRPr="00E93D6E">
        <w:rPr>
          <w:rFonts w:ascii="Arial" w:hAnsi="Arial" w:cs="Arial"/>
        </w:rPr>
        <w:t xml:space="preserve">, which is as under- </w:t>
      </w:r>
    </w:p>
    <w:p w:rsidR="00C9787E" w:rsidRPr="00E93D6E" w:rsidRDefault="00C9787E" w:rsidP="00B91F1C">
      <w:pPr>
        <w:spacing w:line="360" w:lineRule="auto"/>
        <w:ind w:left="720"/>
        <w:jc w:val="both"/>
        <w:rPr>
          <w:rFonts w:ascii="Arial" w:hAnsi="Arial" w:cs="Arial"/>
          <w:b/>
          <w:i/>
          <w:sz w:val="22"/>
          <w:szCs w:val="22"/>
        </w:rPr>
      </w:pPr>
      <w:r w:rsidRPr="00E93D6E">
        <w:rPr>
          <w:rFonts w:ascii="Arial" w:hAnsi="Arial" w:cs="Arial"/>
          <w:b/>
          <w:i/>
          <w:sz w:val="22"/>
          <w:szCs w:val="22"/>
        </w:rPr>
        <w:t>“</w:t>
      </w:r>
      <w:r w:rsidRPr="00E93D6E">
        <w:rPr>
          <w:rFonts w:ascii="Arial" w:hAnsi="Arial" w:cs="Arial"/>
          <w:b/>
          <w:sz w:val="22"/>
          <w:szCs w:val="22"/>
        </w:rPr>
        <w:t>Appeal No 52,53 and 54 of 2007</w:t>
      </w:r>
      <w:r w:rsidRPr="00E93D6E">
        <w:rPr>
          <w:rFonts w:ascii="Arial" w:hAnsi="Arial" w:cs="Arial"/>
          <w:b/>
          <w:i/>
          <w:sz w:val="22"/>
          <w:szCs w:val="22"/>
        </w:rPr>
        <w:t>-Clause 27</w:t>
      </w:r>
      <w:r w:rsidRPr="00E93D6E">
        <w:rPr>
          <w:rFonts w:ascii="Arial" w:hAnsi="Arial" w:cs="Arial"/>
          <w:i/>
          <w:sz w:val="22"/>
          <w:szCs w:val="22"/>
        </w:rPr>
        <w:t>- The next issue is relating to Miscellaneous Income. The question which arises in the present issue is whether the Commission is correct in projecting the miscellaneous income such as one towards meter rent, commission for collection of electricity duty, miscellaneous charges, etc., in the Annual Revenue Requirement? On this issue the State Commission projected the miscellaneous income such as meter rent, commission for collection of electricity duty, miscellaneous charges, etc. According to the State Commission, since the nature of receipts of Delayed Payment Surcharge and over drawl penalty is not certain, the Commission excluded these amounts from miscellaneous receipts while considering the Annual Revenue Requirement. In this case, the cost of the meter has not been included as a cost to the Annual Revenue Requirement on the basis of the State Commission’s policy. Therefore, the</w:t>
      </w:r>
      <w:r w:rsidRPr="00E93D6E">
        <w:rPr>
          <w:rFonts w:ascii="Arial" w:hAnsi="Arial" w:cs="Arial"/>
          <w:b/>
          <w:i/>
          <w:sz w:val="22"/>
          <w:szCs w:val="22"/>
        </w:rPr>
        <w:t xml:space="preserve"> meter rent ought not to be treated as revenue in the Annual Revenue Requirement.”</w:t>
      </w:r>
    </w:p>
    <w:p w:rsidR="00C9787E" w:rsidRPr="00E93D6E" w:rsidRDefault="00C9787E" w:rsidP="00B91F1C">
      <w:pPr>
        <w:spacing w:line="360" w:lineRule="auto"/>
        <w:ind w:left="720"/>
        <w:jc w:val="both"/>
        <w:rPr>
          <w:rFonts w:ascii="Arial" w:hAnsi="Arial" w:cs="Arial"/>
          <w:sz w:val="22"/>
          <w:szCs w:val="22"/>
        </w:rPr>
      </w:pPr>
      <w:r w:rsidRPr="00E93D6E">
        <w:rPr>
          <w:rFonts w:ascii="Arial" w:hAnsi="Arial" w:cs="Arial"/>
          <w:sz w:val="22"/>
          <w:szCs w:val="22"/>
        </w:rPr>
        <w:t xml:space="preserve">It is prayed that meter rent may not be taken into consideration while determination of the Annual Revenue Requirement of the </w:t>
      </w:r>
      <w:r w:rsidR="004F3A4D">
        <w:rPr>
          <w:rFonts w:ascii="Arial" w:hAnsi="Arial" w:cs="Arial"/>
          <w:sz w:val="22"/>
          <w:szCs w:val="22"/>
        </w:rPr>
        <w:t>Licensee</w:t>
      </w:r>
      <w:r w:rsidRPr="00E93D6E">
        <w:rPr>
          <w:rFonts w:ascii="Arial" w:hAnsi="Arial" w:cs="Arial"/>
          <w:sz w:val="22"/>
          <w:szCs w:val="22"/>
        </w:rPr>
        <w:t>.</w:t>
      </w:r>
    </w:p>
    <w:p w:rsidR="00264B52" w:rsidRPr="00997911" w:rsidRDefault="00264B52" w:rsidP="00CF66A5">
      <w:pPr>
        <w:pStyle w:val="Heading1"/>
        <w:numPr>
          <w:ilvl w:val="1"/>
          <w:numId w:val="49"/>
        </w:numPr>
        <w:spacing w:line="360" w:lineRule="auto"/>
        <w:jc w:val="both"/>
        <w:rPr>
          <w:sz w:val="22"/>
          <w:szCs w:val="22"/>
        </w:rPr>
      </w:pPr>
      <w:bookmarkStart w:id="116" w:name="_Toc278829429"/>
      <w:bookmarkStart w:id="117" w:name="_Toc404940212"/>
      <w:r w:rsidRPr="00997911">
        <w:rPr>
          <w:sz w:val="22"/>
          <w:szCs w:val="22"/>
        </w:rPr>
        <w:t>MMFC for Consumers with Contract Demand &lt;110 KVA</w:t>
      </w:r>
      <w:bookmarkEnd w:id="116"/>
      <w:bookmarkEnd w:id="117"/>
    </w:p>
    <w:p w:rsidR="00264B52" w:rsidRPr="00997911" w:rsidRDefault="00264B52" w:rsidP="00B91F1C">
      <w:pPr>
        <w:spacing w:line="360" w:lineRule="auto"/>
        <w:jc w:val="both"/>
        <w:rPr>
          <w:rFonts w:ascii="Arial" w:hAnsi="Arial" w:cs="Arial"/>
          <w:sz w:val="22"/>
          <w:szCs w:val="22"/>
          <w:lang w:val="en-GB"/>
        </w:rPr>
      </w:pPr>
      <w:r w:rsidRPr="00997911">
        <w:rPr>
          <w:rFonts w:ascii="Arial" w:hAnsi="Arial" w:cs="Arial"/>
          <w:sz w:val="22"/>
          <w:szCs w:val="22"/>
          <w:lang w:val="en-GB"/>
        </w:rPr>
        <w:t>As per the current tariff structure, the Monthly Minimum Fixed Charges are to be levied to consumers with contract demand less than 110 KVA on the recorded demand rounded to nearest 0.5 kw requiring no verification irrespective of the agreement .</w:t>
      </w:r>
      <w:r w:rsidR="00CC78E8" w:rsidRPr="00997911">
        <w:rPr>
          <w:rFonts w:ascii="Arial" w:hAnsi="Arial" w:cs="Arial"/>
          <w:sz w:val="22"/>
          <w:szCs w:val="22"/>
          <w:lang w:val="en-GB"/>
        </w:rPr>
        <w:t>For billing purposes t</w:t>
      </w:r>
      <w:r w:rsidRPr="00997911">
        <w:rPr>
          <w:rFonts w:ascii="Arial" w:hAnsi="Arial" w:cs="Arial"/>
          <w:sz w:val="22"/>
          <w:szCs w:val="22"/>
          <w:lang w:val="en-GB"/>
        </w:rPr>
        <w:t xml:space="preserve">his adversely affects the Licensee in case of the recorded demand is lower than the contract demand/connected load. </w:t>
      </w:r>
      <w:r w:rsidR="00CC78E8" w:rsidRPr="00997911">
        <w:rPr>
          <w:rFonts w:ascii="Arial" w:hAnsi="Arial" w:cs="Arial"/>
          <w:sz w:val="22"/>
          <w:szCs w:val="22"/>
          <w:lang w:val="en-GB"/>
        </w:rPr>
        <w:t xml:space="preserve">As the licensee is reserving the contracted capacity for the consumers at the same time they are also liable to pay the MMFC/Demand charges on the basis of CD or MD whichever is higher as like of consumers with CD of &gt;110 Kva. </w:t>
      </w:r>
      <w:r w:rsidRPr="00997911">
        <w:rPr>
          <w:rFonts w:ascii="Arial" w:hAnsi="Arial" w:cs="Arial"/>
          <w:b/>
          <w:sz w:val="22"/>
          <w:szCs w:val="22"/>
          <w:lang w:val="en-GB"/>
        </w:rPr>
        <w:t>The Licensee proposes that the Monthly Minimum Fixed Charges for such consumers shall be levied at Contract Demand or Maximum Demand whichever is higher</w:t>
      </w:r>
      <w:r w:rsidRPr="00997911">
        <w:rPr>
          <w:rFonts w:ascii="Arial" w:hAnsi="Arial" w:cs="Arial"/>
          <w:sz w:val="22"/>
          <w:szCs w:val="22"/>
          <w:lang w:val="en-GB"/>
        </w:rPr>
        <w:t>.</w:t>
      </w:r>
    </w:p>
    <w:p w:rsidR="0059621F" w:rsidRPr="00997911" w:rsidRDefault="0059621F" w:rsidP="00CF66A5">
      <w:pPr>
        <w:pStyle w:val="Heading1"/>
        <w:numPr>
          <w:ilvl w:val="1"/>
          <w:numId w:val="49"/>
        </w:numPr>
        <w:spacing w:line="360" w:lineRule="auto"/>
        <w:jc w:val="both"/>
        <w:rPr>
          <w:sz w:val="22"/>
          <w:szCs w:val="22"/>
          <w:lang w:val="en-GB"/>
        </w:rPr>
      </w:pPr>
      <w:bookmarkStart w:id="118" w:name="_Toc404940213"/>
      <w:r w:rsidRPr="00997911">
        <w:rPr>
          <w:sz w:val="22"/>
          <w:szCs w:val="22"/>
          <w:lang w:val="en-GB"/>
        </w:rPr>
        <w:lastRenderedPageBreak/>
        <w:t>Demand Charges for G</w:t>
      </w:r>
      <w:r w:rsidR="0009486F" w:rsidRPr="00997911">
        <w:rPr>
          <w:sz w:val="22"/>
          <w:szCs w:val="22"/>
          <w:lang w:val="en-GB"/>
        </w:rPr>
        <w:t>P</w:t>
      </w:r>
      <w:r w:rsidRPr="00997911">
        <w:rPr>
          <w:sz w:val="22"/>
          <w:szCs w:val="22"/>
          <w:lang w:val="en-GB"/>
        </w:rPr>
        <w:t>&gt;70 Kva&lt;110 KVa and HT Industrial (M) Supply</w:t>
      </w:r>
      <w:bookmarkEnd w:id="118"/>
    </w:p>
    <w:p w:rsidR="0059621F" w:rsidRPr="00997911" w:rsidRDefault="0059621F" w:rsidP="00B91F1C">
      <w:pPr>
        <w:spacing w:line="360" w:lineRule="auto"/>
        <w:jc w:val="both"/>
        <w:rPr>
          <w:rFonts w:ascii="Arial" w:hAnsi="Arial" w:cs="Arial"/>
          <w:sz w:val="22"/>
          <w:szCs w:val="22"/>
          <w:lang w:val="en-GB"/>
        </w:rPr>
      </w:pPr>
      <w:r w:rsidRPr="00997911">
        <w:rPr>
          <w:rFonts w:ascii="Arial" w:hAnsi="Arial" w:cs="Arial"/>
          <w:sz w:val="22"/>
          <w:szCs w:val="22"/>
          <w:lang w:val="en-GB"/>
        </w:rPr>
        <w:t>As per current tariff structures the consumers in the above category who are availing power supply</w:t>
      </w:r>
      <w:r w:rsidR="001A110F" w:rsidRPr="00997911">
        <w:rPr>
          <w:rFonts w:ascii="Arial" w:hAnsi="Arial" w:cs="Arial"/>
          <w:sz w:val="22"/>
          <w:szCs w:val="22"/>
          <w:lang w:val="en-GB"/>
        </w:rPr>
        <w:t xml:space="preserve"> in HT </w:t>
      </w:r>
      <w:r w:rsidRPr="00997911">
        <w:rPr>
          <w:rFonts w:ascii="Arial" w:hAnsi="Arial" w:cs="Arial"/>
          <w:sz w:val="22"/>
          <w:szCs w:val="22"/>
          <w:lang w:val="en-GB"/>
        </w:rPr>
        <w:t>are required to pay demand charges of Rs,</w:t>
      </w:r>
      <w:r w:rsidR="001A110F" w:rsidRPr="00997911">
        <w:rPr>
          <w:rFonts w:ascii="Arial" w:hAnsi="Arial" w:cs="Arial"/>
          <w:sz w:val="22"/>
          <w:szCs w:val="22"/>
          <w:lang w:val="en-GB"/>
        </w:rPr>
        <w:t xml:space="preserve">250 and Rs.150 per Kva. In para 341 of RST order (FY 13-14) Demand charges are meant for consumers with contract demand of 110 Kva and above. </w:t>
      </w:r>
    </w:p>
    <w:p w:rsidR="000F2575" w:rsidRPr="00997911" w:rsidRDefault="00AE7381" w:rsidP="00B91F1C">
      <w:pPr>
        <w:spacing w:line="360" w:lineRule="auto"/>
        <w:jc w:val="both"/>
        <w:rPr>
          <w:rFonts w:ascii="Arial" w:hAnsi="Arial" w:cs="Arial"/>
          <w:sz w:val="22"/>
          <w:szCs w:val="22"/>
          <w:lang w:val="en-GB"/>
        </w:rPr>
      </w:pPr>
      <w:r>
        <w:rPr>
          <w:rFonts w:ascii="Arial" w:hAnsi="Arial" w:cs="Arial"/>
          <w:sz w:val="22"/>
          <w:szCs w:val="22"/>
          <w:lang w:val="en-GB"/>
        </w:rPr>
        <w:t>In absence of clear-</w:t>
      </w:r>
      <w:r w:rsidR="001A110F" w:rsidRPr="00997911">
        <w:rPr>
          <w:rFonts w:ascii="Arial" w:hAnsi="Arial" w:cs="Arial"/>
          <w:sz w:val="22"/>
          <w:szCs w:val="22"/>
          <w:lang w:val="en-GB"/>
        </w:rPr>
        <w:t>cut guidelines for billing of demand charges to the above two category availing power supply in HT supply are ra</w:t>
      </w:r>
      <w:r w:rsidR="000F2575" w:rsidRPr="00997911">
        <w:rPr>
          <w:rFonts w:ascii="Arial" w:hAnsi="Arial" w:cs="Arial"/>
          <w:sz w:val="22"/>
          <w:szCs w:val="22"/>
          <w:lang w:val="en-GB"/>
        </w:rPr>
        <w:t>i</w:t>
      </w:r>
      <w:r w:rsidR="001A110F" w:rsidRPr="00997911">
        <w:rPr>
          <w:rFonts w:ascii="Arial" w:hAnsi="Arial" w:cs="Arial"/>
          <w:sz w:val="22"/>
          <w:szCs w:val="22"/>
          <w:lang w:val="en-GB"/>
        </w:rPr>
        <w:t>sing disputes in various</w:t>
      </w:r>
      <w:r w:rsidR="000F2575" w:rsidRPr="00997911">
        <w:rPr>
          <w:rFonts w:ascii="Arial" w:hAnsi="Arial" w:cs="Arial"/>
          <w:sz w:val="22"/>
          <w:szCs w:val="22"/>
          <w:lang w:val="en-GB"/>
        </w:rPr>
        <w:t xml:space="preserve"> forums and demanding that they are required to be billed as per para 344 of RST order FY 13-14.</w:t>
      </w:r>
    </w:p>
    <w:p w:rsidR="000F2575" w:rsidRPr="00997911" w:rsidRDefault="000F2575" w:rsidP="00B91F1C">
      <w:pPr>
        <w:spacing w:line="360" w:lineRule="auto"/>
        <w:jc w:val="both"/>
        <w:rPr>
          <w:rFonts w:ascii="Arial" w:hAnsi="Arial" w:cs="Arial"/>
          <w:sz w:val="22"/>
          <w:szCs w:val="22"/>
          <w:lang w:val="en-GB"/>
        </w:rPr>
      </w:pPr>
      <w:r w:rsidRPr="00997911">
        <w:rPr>
          <w:rFonts w:ascii="Arial" w:hAnsi="Arial" w:cs="Arial"/>
          <w:sz w:val="22"/>
          <w:szCs w:val="22"/>
          <w:lang w:val="en-GB"/>
        </w:rPr>
        <w:t>Para 344 says</w:t>
      </w:r>
      <w:r w:rsidR="00AE7381">
        <w:rPr>
          <w:rFonts w:ascii="Arial" w:hAnsi="Arial" w:cs="Arial"/>
          <w:sz w:val="22"/>
          <w:szCs w:val="22"/>
          <w:lang w:val="en-GB"/>
        </w:rPr>
        <w:t xml:space="preserve"> -</w:t>
      </w:r>
    </w:p>
    <w:p w:rsidR="000F2575" w:rsidRPr="00997911" w:rsidRDefault="000F2575" w:rsidP="00B91F1C">
      <w:pPr>
        <w:spacing w:line="360" w:lineRule="auto"/>
        <w:ind w:firstLine="720"/>
        <w:jc w:val="both"/>
        <w:rPr>
          <w:rFonts w:ascii="Arial" w:hAnsi="Arial" w:cs="Arial"/>
          <w:i/>
          <w:sz w:val="22"/>
          <w:szCs w:val="22"/>
          <w:lang w:val="en-GB"/>
        </w:rPr>
      </w:pPr>
      <w:r w:rsidRPr="00997911">
        <w:rPr>
          <w:rFonts w:ascii="Arial" w:hAnsi="Arial" w:cs="Arial"/>
          <w:i/>
          <w:sz w:val="22"/>
          <w:szCs w:val="22"/>
          <w:lang w:val="en-GB"/>
        </w:rPr>
        <w:t xml:space="preserve">However, the billing demand in respect of consumers with Contract Demand of less than 110 KVA having static meters should be the highest demand recorded in the meter during the Financial Year irrespective of the Connected Load, which shall require no verification. The highest demand recorded should continue from the month it occurs till the end of the financial year for the billing purpose. </w:t>
      </w:r>
    </w:p>
    <w:p w:rsidR="00CC78E8" w:rsidRPr="00997911" w:rsidRDefault="00AE7381" w:rsidP="00B91F1C">
      <w:pPr>
        <w:spacing w:line="360" w:lineRule="auto"/>
        <w:jc w:val="both"/>
        <w:rPr>
          <w:rFonts w:ascii="Arial" w:hAnsi="Arial" w:cs="Arial"/>
          <w:sz w:val="22"/>
          <w:szCs w:val="22"/>
          <w:lang w:val="en-GB"/>
        </w:rPr>
      </w:pPr>
      <w:r>
        <w:rPr>
          <w:rFonts w:ascii="Arial" w:hAnsi="Arial" w:cs="Arial"/>
          <w:sz w:val="22"/>
          <w:szCs w:val="22"/>
          <w:lang w:val="en-GB"/>
        </w:rPr>
        <w:t>It is pertinent to mention</w:t>
      </w:r>
      <w:r w:rsidR="00CC78E8" w:rsidRPr="00997911">
        <w:rPr>
          <w:rFonts w:ascii="Arial" w:hAnsi="Arial" w:cs="Arial"/>
          <w:sz w:val="22"/>
          <w:szCs w:val="22"/>
          <w:lang w:val="en-GB"/>
        </w:rPr>
        <w:t xml:space="preserve"> here that consumers with CD of more than 110 Kva are paying Demand charges on the basis para 342 of RST order FY 13-14, as the licensee is reserving capacity for them to the extent of their CD. In similar line consumers with CD of &lt;110KVa are also liable to pay the Demand charges on the basis of CD or MD whichever is higher.</w:t>
      </w:r>
    </w:p>
    <w:p w:rsidR="000F2575" w:rsidRPr="00997911" w:rsidRDefault="00CC78E8" w:rsidP="00B91F1C">
      <w:pPr>
        <w:spacing w:line="360" w:lineRule="auto"/>
        <w:jc w:val="both"/>
        <w:rPr>
          <w:rFonts w:ascii="Arial" w:hAnsi="Arial" w:cs="Arial"/>
          <w:sz w:val="22"/>
          <w:szCs w:val="22"/>
          <w:lang w:val="en-GB"/>
        </w:rPr>
      </w:pPr>
      <w:r w:rsidRPr="00997911">
        <w:rPr>
          <w:rFonts w:ascii="Arial" w:hAnsi="Arial" w:cs="Arial"/>
          <w:sz w:val="22"/>
          <w:szCs w:val="22"/>
          <w:lang w:val="en-GB"/>
        </w:rPr>
        <w:t xml:space="preserve">Therefore the licensee submits that these two </w:t>
      </w:r>
      <w:r w:rsidR="001B52D2" w:rsidRPr="00997911">
        <w:rPr>
          <w:rFonts w:ascii="Arial" w:hAnsi="Arial" w:cs="Arial"/>
          <w:sz w:val="22"/>
          <w:szCs w:val="22"/>
          <w:lang w:val="en-GB"/>
        </w:rPr>
        <w:t>categories</w:t>
      </w:r>
      <w:r w:rsidRPr="00997911">
        <w:rPr>
          <w:rFonts w:ascii="Arial" w:hAnsi="Arial" w:cs="Arial"/>
          <w:sz w:val="22"/>
          <w:szCs w:val="22"/>
          <w:lang w:val="en-GB"/>
        </w:rPr>
        <w:t xml:space="preserve"> of consumers availing power supply in HT category and liable to pay Dem</w:t>
      </w:r>
      <w:r w:rsidR="001B52D2" w:rsidRPr="00997911">
        <w:rPr>
          <w:rFonts w:ascii="Arial" w:hAnsi="Arial" w:cs="Arial"/>
          <w:sz w:val="22"/>
          <w:szCs w:val="22"/>
          <w:lang w:val="en-GB"/>
        </w:rPr>
        <w:t>a</w:t>
      </w:r>
      <w:r w:rsidRPr="00997911">
        <w:rPr>
          <w:rFonts w:ascii="Arial" w:hAnsi="Arial" w:cs="Arial"/>
          <w:sz w:val="22"/>
          <w:szCs w:val="22"/>
          <w:lang w:val="en-GB"/>
        </w:rPr>
        <w:t>nd charges i</w:t>
      </w:r>
      <w:r w:rsidR="001B52D2" w:rsidRPr="00997911">
        <w:rPr>
          <w:rFonts w:ascii="Arial" w:hAnsi="Arial" w:cs="Arial"/>
          <w:sz w:val="22"/>
          <w:szCs w:val="22"/>
          <w:lang w:val="en-GB"/>
        </w:rPr>
        <w:t>n</w:t>
      </w:r>
      <w:r w:rsidRPr="00997911">
        <w:rPr>
          <w:rFonts w:ascii="Arial" w:hAnsi="Arial" w:cs="Arial"/>
          <w:sz w:val="22"/>
          <w:szCs w:val="22"/>
          <w:lang w:val="en-GB"/>
        </w:rPr>
        <w:t xml:space="preserve"> KVa </w:t>
      </w:r>
      <w:r w:rsidR="001B52D2" w:rsidRPr="00997911">
        <w:rPr>
          <w:rFonts w:ascii="Arial" w:hAnsi="Arial" w:cs="Arial"/>
          <w:sz w:val="22"/>
          <w:szCs w:val="22"/>
          <w:lang w:val="en-GB"/>
        </w:rPr>
        <w:t>should also be billed on the basis of CD or MD whichever is higher irrespective of their connected load which may kindly be considered.</w:t>
      </w:r>
    </w:p>
    <w:p w:rsidR="009E0A9B" w:rsidRPr="00997911" w:rsidRDefault="009E0A9B" w:rsidP="00CF66A5">
      <w:pPr>
        <w:pStyle w:val="Heading1"/>
        <w:numPr>
          <w:ilvl w:val="1"/>
          <w:numId w:val="49"/>
        </w:numPr>
        <w:spacing w:line="360" w:lineRule="auto"/>
        <w:jc w:val="both"/>
        <w:rPr>
          <w:sz w:val="22"/>
          <w:szCs w:val="22"/>
          <w:lang w:val="en-GB"/>
        </w:rPr>
      </w:pPr>
      <w:bookmarkStart w:id="119" w:name="_Toc404940214"/>
      <w:r w:rsidRPr="00997911">
        <w:rPr>
          <w:sz w:val="22"/>
          <w:szCs w:val="22"/>
          <w:lang w:val="en-GB"/>
        </w:rPr>
        <w:t>Demand Charges and Monthly Minimum Fixed Charges</w:t>
      </w:r>
      <w:bookmarkEnd w:id="119"/>
    </w:p>
    <w:p w:rsidR="009E0A9B" w:rsidRPr="00997911" w:rsidRDefault="009E0A9B" w:rsidP="00B91F1C">
      <w:pPr>
        <w:spacing w:line="360" w:lineRule="auto"/>
        <w:jc w:val="both"/>
        <w:rPr>
          <w:rFonts w:ascii="Arial" w:hAnsi="Arial" w:cs="Arial"/>
          <w:sz w:val="22"/>
          <w:szCs w:val="22"/>
        </w:rPr>
      </w:pPr>
      <w:r w:rsidRPr="00997911">
        <w:rPr>
          <w:rFonts w:ascii="Arial" w:hAnsi="Arial" w:cs="Arial"/>
          <w:sz w:val="22"/>
          <w:szCs w:val="22"/>
        </w:rPr>
        <w:t>The Licensee submits that 90% of the Distribution costs are fixed cost in nature. The distribution cost of the License which is a fixed cost has increased many folds during the recent years, the said cost normally required to be recovered from the Demand Charges. The fixed cost of the power procurement by way of payment towards capacity charges has also increased during last few years. The revenue recovery on account of the demand charges and monthly minimum fixed charges is approximately Rs.</w:t>
      </w:r>
      <w:r w:rsidR="001B52D2" w:rsidRPr="00997911">
        <w:rPr>
          <w:rFonts w:ascii="Arial" w:hAnsi="Arial" w:cs="Arial"/>
          <w:sz w:val="22"/>
          <w:szCs w:val="22"/>
        </w:rPr>
        <w:t>294</w:t>
      </w:r>
      <w:r w:rsidRPr="00997911">
        <w:rPr>
          <w:rFonts w:ascii="Arial" w:hAnsi="Arial" w:cs="Arial"/>
          <w:sz w:val="22"/>
          <w:szCs w:val="22"/>
        </w:rPr>
        <w:t xml:space="preserve"> crore for the ensuing year at the existing tariff whereas the fixed distribution cost is around Rs.</w:t>
      </w:r>
      <w:r w:rsidR="001B52D2" w:rsidRPr="00997911">
        <w:rPr>
          <w:rFonts w:ascii="Arial" w:hAnsi="Arial" w:cs="Arial"/>
          <w:sz w:val="22"/>
          <w:szCs w:val="22"/>
        </w:rPr>
        <w:t>514</w:t>
      </w:r>
      <w:r w:rsidRPr="00997911">
        <w:rPr>
          <w:rFonts w:ascii="Arial" w:hAnsi="Arial" w:cs="Arial"/>
          <w:sz w:val="22"/>
          <w:szCs w:val="22"/>
        </w:rPr>
        <w:t xml:space="preserve">crore (Employee cost, R&amp;M, A&amp;G and Interest cost) which is more than double the amount recovery. </w:t>
      </w:r>
    </w:p>
    <w:p w:rsidR="009E0A9B" w:rsidRPr="00997911" w:rsidRDefault="009E0A9B" w:rsidP="00B91F1C">
      <w:pPr>
        <w:pStyle w:val="BodyText2"/>
        <w:spacing w:line="360" w:lineRule="auto"/>
        <w:jc w:val="both"/>
        <w:rPr>
          <w:rFonts w:cs="Arial"/>
          <w:sz w:val="22"/>
          <w:szCs w:val="22"/>
          <w:lang w:val="en-GB"/>
        </w:rPr>
      </w:pPr>
      <w:r w:rsidRPr="00997911">
        <w:rPr>
          <w:rFonts w:cs="Arial"/>
          <w:b/>
          <w:sz w:val="22"/>
          <w:szCs w:val="22"/>
        </w:rPr>
        <w:t>In view of the above, the Licensee proposes to recover the full fixed distribution costs by suitably revising the Demand charges and monthly minimum fixed charges</w:t>
      </w:r>
      <w:r w:rsidR="00AE7381">
        <w:rPr>
          <w:rFonts w:cs="Arial"/>
          <w:b/>
          <w:sz w:val="22"/>
          <w:szCs w:val="22"/>
        </w:rPr>
        <w:t xml:space="preserve"> as proposed in earlier section</w:t>
      </w:r>
      <w:r w:rsidRPr="00997911">
        <w:rPr>
          <w:rFonts w:cs="Arial"/>
          <w:b/>
          <w:sz w:val="22"/>
          <w:szCs w:val="22"/>
        </w:rPr>
        <w:t>, as applicable to the respectively category during the ensuing year.</w:t>
      </w:r>
    </w:p>
    <w:p w:rsidR="009E0A9B" w:rsidRPr="005F65AC" w:rsidRDefault="00FE2B94" w:rsidP="00CF66A5">
      <w:pPr>
        <w:pStyle w:val="Heading1"/>
        <w:numPr>
          <w:ilvl w:val="0"/>
          <w:numId w:val="49"/>
        </w:numPr>
        <w:spacing w:line="360" w:lineRule="auto"/>
        <w:jc w:val="both"/>
        <w:rPr>
          <w:sz w:val="22"/>
          <w:szCs w:val="22"/>
        </w:rPr>
      </w:pPr>
      <w:bookmarkStart w:id="120" w:name="_Toc404940215"/>
      <w:r w:rsidRPr="005F65AC">
        <w:rPr>
          <w:sz w:val="22"/>
          <w:szCs w:val="22"/>
        </w:rPr>
        <w:lastRenderedPageBreak/>
        <w:t>Other Issues</w:t>
      </w:r>
      <w:bookmarkEnd w:id="120"/>
    </w:p>
    <w:p w:rsidR="008574A8" w:rsidRPr="005F65AC" w:rsidRDefault="008574A8" w:rsidP="00CF66A5">
      <w:pPr>
        <w:pStyle w:val="Heading1"/>
        <w:numPr>
          <w:ilvl w:val="1"/>
          <w:numId w:val="49"/>
        </w:numPr>
        <w:spacing w:line="360" w:lineRule="auto"/>
        <w:jc w:val="both"/>
        <w:rPr>
          <w:sz w:val="22"/>
          <w:szCs w:val="22"/>
        </w:rPr>
      </w:pPr>
      <w:bookmarkStart w:id="121" w:name="_Toc404940216"/>
      <w:r w:rsidRPr="005F65AC">
        <w:rPr>
          <w:sz w:val="22"/>
          <w:szCs w:val="22"/>
        </w:rPr>
        <w:t>Applicability of Reconnection Fees and Reliability Surcharge:</w:t>
      </w:r>
      <w:bookmarkEnd w:id="121"/>
    </w:p>
    <w:p w:rsidR="005D264D" w:rsidRPr="005F65AC" w:rsidRDefault="005D264D" w:rsidP="005D264D">
      <w:pPr>
        <w:spacing w:line="360" w:lineRule="auto"/>
        <w:ind w:left="360"/>
        <w:rPr>
          <w:rFonts w:ascii="Arial" w:hAnsi="Arial" w:cs="Arial"/>
          <w:b/>
          <w:bCs/>
          <w:sz w:val="22"/>
          <w:szCs w:val="22"/>
        </w:rPr>
      </w:pPr>
      <w:r w:rsidRPr="005F65AC">
        <w:rPr>
          <w:rFonts w:ascii="Arial" w:hAnsi="Arial" w:cs="Arial"/>
          <w:b/>
          <w:bCs/>
          <w:sz w:val="22"/>
          <w:szCs w:val="22"/>
        </w:rPr>
        <w:t>The prevailing system of applicability of reconnection fees and reliability surcharge may be continued with the following modifications.</w:t>
      </w:r>
    </w:p>
    <w:p w:rsidR="005D264D" w:rsidRPr="005F65AC" w:rsidRDefault="005D264D" w:rsidP="005D264D">
      <w:pPr>
        <w:spacing w:line="360" w:lineRule="auto"/>
        <w:ind w:left="360"/>
        <w:rPr>
          <w:rFonts w:ascii="Arial" w:hAnsi="Arial" w:cs="Arial"/>
          <w:sz w:val="22"/>
          <w:szCs w:val="22"/>
        </w:rPr>
      </w:pPr>
      <w:r w:rsidRPr="005F65AC">
        <w:rPr>
          <w:rFonts w:ascii="Arial" w:hAnsi="Arial" w:cs="Arial"/>
          <w:sz w:val="22"/>
          <w:szCs w:val="22"/>
        </w:rPr>
        <w:t>As regards to the reliability surcharge, it is applicable for HT and EHT consumers, availing power supply through dedicated feeders, with other pre-conditions. However in absence of clarity in the definition of ‘dedicated feeder’ the licensees are facing difficulties for proper implementation of the same. In view of the above it is suggested that as the consumers those who are fulfilling other two pre-conditions for levy of reliability surcharge and also connected with dedicated shared industrial feeders should also be liable to pay reliability surcharge.</w:t>
      </w:r>
    </w:p>
    <w:p w:rsidR="009E0A9B" w:rsidRPr="005F65AC" w:rsidRDefault="009E0A9B" w:rsidP="00CF66A5">
      <w:pPr>
        <w:pStyle w:val="Heading1"/>
        <w:numPr>
          <w:ilvl w:val="1"/>
          <w:numId w:val="49"/>
        </w:numPr>
        <w:spacing w:line="360" w:lineRule="auto"/>
        <w:jc w:val="both"/>
        <w:rPr>
          <w:sz w:val="22"/>
          <w:szCs w:val="22"/>
        </w:rPr>
      </w:pPr>
      <w:bookmarkStart w:id="122" w:name="_Toc404940217"/>
      <w:r w:rsidRPr="005F65AC">
        <w:rPr>
          <w:sz w:val="22"/>
          <w:szCs w:val="22"/>
        </w:rPr>
        <w:t>Rebate on Prompt Payment</w:t>
      </w:r>
      <w:bookmarkEnd w:id="122"/>
    </w:p>
    <w:p w:rsidR="009E0A9B" w:rsidRPr="005F65AC" w:rsidRDefault="00C81895" w:rsidP="00B91F1C">
      <w:pPr>
        <w:spacing w:line="360" w:lineRule="auto"/>
        <w:jc w:val="both"/>
        <w:rPr>
          <w:rFonts w:ascii="Arial" w:hAnsi="Arial" w:cs="Arial"/>
          <w:sz w:val="22"/>
          <w:szCs w:val="22"/>
        </w:rPr>
      </w:pPr>
      <w:r w:rsidRPr="005F65AC">
        <w:rPr>
          <w:rFonts w:ascii="Arial" w:hAnsi="Arial" w:cs="Arial"/>
          <w:sz w:val="22"/>
          <w:szCs w:val="22"/>
        </w:rPr>
        <w:t>I</w:t>
      </w:r>
      <w:r w:rsidR="00FB208C" w:rsidRPr="005F65AC">
        <w:rPr>
          <w:rFonts w:ascii="Arial" w:hAnsi="Arial" w:cs="Arial"/>
          <w:sz w:val="22"/>
          <w:szCs w:val="22"/>
        </w:rPr>
        <w:t xml:space="preserve">n </w:t>
      </w:r>
      <w:r w:rsidRPr="005F65AC">
        <w:rPr>
          <w:rFonts w:ascii="Arial" w:hAnsi="Arial" w:cs="Arial"/>
          <w:sz w:val="22"/>
          <w:szCs w:val="22"/>
        </w:rPr>
        <w:t xml:space="preserve">the </w:t>
      </w:r>
      <w:r w:rsidR="00FB208C" w:rsidRPr="005F65AC">
        <w:rPr>
          <w:rFonts w:ascii="Arial" w:hAnsi="Arial" w:cs="Arial"/>
          <w:sz w:val="22"/>
          <w:szCs w:val="22"/>
        </w:rPr>
        <w:t>BSP Order for the  financial year 201</w:t>
      </w:r>
      <w:r w:rsidR="00D75EB8" w:rsidRPr="005F65AC">
        <w:rPr>
          <w:rFonts w:ascii="Arial" w:hAnsi="Arial" w:cs="Arial"/>
          <w:sz w:val="22"/>
          <w:szCs w:val="22"/>
        </w:rPr>
        <w:t>4</w:t>
      </w:r>
      <w:r w:rsidRPr="005F65AC">
        <w:rPr>
          <w:rFonts w:ascii="Arial" w:hAnsi="Arial" w:cs="Arial"/>
          <w:sz w:val="22"/>
          <w:szCs w:val="22"/>
        </w:rPr>
        <w:t xml:space="preserve">-15, the Hon`ble Commission </w:t>
      </w:r>
      <w:r w:rsidR="00FB208C" w:rsidRPr="005F65AC">
        <w:rPr>
          <w:rFonts w:ascii="Arial" w:hAnsi="Arial" w:cs="Arial"/>
          <w:sz w:val="22"/>
          <w:szCs w:val="22"/>
        </w:rPr>
        <w:t>directed that the Licensee is entitled to avail a rebate of 2% for prompt payment of BST bill on payment of current BST in full within two working days of presentation of BST Bills and 1% is paid within 30 days.  Further, the Hon’ble Commission had directed to pay the rebate to all consumers except domestic, general purpose, irrigation and small industry category, if payment is made within three days of presentation of bill and fifteen days in case of others.</w:t>
      </w:r>
    </w:p>
    <w:p w:rsidR="009E0A9B" w:rsidRPr="005F65AC" w:rsidRDefault="00FB208C" w:rsidP="00B91F1C">
      <w:pPr>
        <w:spacing w:line="360" w:lineRule="auto"/>
        <w:jc w:val="both"/>
        <w:rPr>
          <w:rFonts w:ascii="Arial" w:hAnsi="Arial" w:cs="Arial"/>
          <w:sz w:val="22"/>
          <w:szCs w:val="22"/>
        </w:rPr>
      </w:pPr>
      <w:r w:rsidRPr="005F65AC">
        <w:rPr>
          <w:rFonts w:ascii="Arial" w:hAnsi="Arial" w:cs="Arial"/>
          <w:sz w:val="22"/>
          <w:szCs w:val="22"/>
        </w:rPr>
        <w:t>Considering the above, it is prayed before the Hon’ble Commission to approve the rebate of 2% to the licensee for prompt payment towards BST bills including part payments within 3 (three) working days from the date of presentation of the BST bill and in case the BST bill is paid after 3 (three) days the rebate should be proportionately allowed to the extent of payment made within 30</w:t>
      </w:r>
      <w:r w:rsidRPr="005F65AC">
        <w:rPr>
          <w:rFonts w:ascii="Arial" w:hAnsi="Arial" w:cs="Arial"/>
          <w:sz w:val="22"/>
          <w:szCs w:val="22"/>
          <w:vertAlign w:val="superscript"/>
        </w:rPr>
        <w:t>th</w:t>
      </w:r>
      <w:r w:rsidRPr="005F65AC">
        <w:rPr>
          <w:rFonts w:ascii="Arial" w:hAnsi="Arial" w:cs="Arial"/>
          <w:sz w:val="22"/>
          <w:szCs w:val="22"/>
        </w:rPr>
        <w:t xml:space="preserve"> day @1% akin to Rebate Policy on Rebate is provided to GRIDCO by NTPC.</w:t>
      </w:r>
    </w:p>
    <w:p w:rsidR="00C81895" w:rsidRPr="005F65AC" w:rsidRDefault="00C81895" w:rsidP="00B91F1C">
      <w:pPr>
        <w:spacing w:line="360" w:lineRule="auto"/>
        <w:jc w:val="both"/>
        <w:rPr>
          <w:rFonts w:ascii="Arial" w:hAnsi="Arial" w:cs="Arial"/>
          <w:b/>
          <w:sz w:val="22"/>
          <w:szCs w:val="22"/>
        </w:rPr>
      </w:pPr>
      <w:r w:rsidRPr="005F65AC">
        <w:rPr>
          <w:rFonts w:ascii="Arial" w:hAnsi="Arial" w:cs="Arial"/>
          <w:b/>
          <w:sz w:val="22"/>
          <w:szCs w:val="22"/>
        </w:rPr>
        <w:t>It is further submitted that when licensees are extending rebate on prompt payment to consumers on the current bill (excluding all arrears), they are not being allowed rebate on prompt payment of current BSP bill on the pretext of arrears which are disputed. The licensees pray for parity in treatment regarding rebate on prompt payment on current bill (excluding arrears)</w:t>
      </w:r>
    </w:p>
    <w:p w:rsidR="009E0A9B" w:rsidRPr="005F65AC" w:rsidRDefault="009E0A9B" w:rsidP="00CF66A5">
      <w:pPr>
        <w:pStyle w:val="Heading1"/>
        <w:numPr>
          <w:ilvl w:val="0"/>
          <w:numId w:val="49"/>
        </w:numPr>
        <w:spacing w:line="360" w:lineRule="auto"/>
        <w:jc w:val="both"/>
        <w:rPr>
          <w:sz w:val="22"/>
          <w:szCs w:val="22"/>
        </w:rPr>
      </w:pPr>
      <w:bookmarkStart w:id="123" w:name="_Toc404940218"/>
      <w:r w:rsidRPr="005F65AC">
        <w:rPr>
          <w:sz w:val="22"/>
          <w:szCs w:val="22"/>
        </w:rPr>
        <w:t>Formats</w:t>
      </w:r>
      <w:bookmarkEnd w:id="123"/>
    </w:p>
    <w:p w:rsidR="009E0A9B" w:rsidRPr="005F65AC" w:rsidRDefault="009E0A9B" w:rsidP="00B91F1C">
      <w:pPr>
        <w:spacing w:line="360" w:lineRule="auto"/>
        <w:rPr>
          <w:rFonts w:ascii="Arial" w:hAnsi="Arial" w:cs="Arial"/>
          <w:sz w:val="22"/>
          <w:szCs w:val="22"/>
        </w:rPr>
      </w:pPr>
      <w:r w:rsidRPr="005F65AC">
        <w:rPr>
          <w:rFonts w:ascii="Arial" w:hAnsi="Arial" w:cs="Arial"/>
          <w:sz w:val="22"/>
          <w:szCs w:val="22"/>
          <w:lang w:val="en-GB"/>
        </w:rPr>
        <w:t xml:space="preserve">The following filled in formats will form a part of the ARR and Tariff Application for FY </w:t>
      </w:r>
      <w:r w:rsidR="0028087D" w:rsidRPr="005F65AC">
        <w:rPr>
          <w:rFonts w:ascii="Arial" w:hAnsi="Arial" w:cs="Arial"/>
          <w:sz w:val="22"/>
          <w:szCs w:val="22"/>
          <w:lang w:val="en-GB"/>
        </w:rPr>
        <w:t>201</w:t>
      </w:r>
      <w:r w:rsidR="00663FFE" w:rsidRPr="005F65AC">
        <w:rPr>
          <w:rFonts w:ascii="Arial" w:hAnsi="Arial" w:cs="Arial"/>
          <w:sz w:val="22"/>
          <w:szCs w:val="22"/>
          <w:lang w:val="en-GB"/>
        </w:rPr>
        <w:t>5</w:t>
      </w:r>
      <w:r w:rsidR="0028087D" w:rsidRPr="005F65AC">
        <w:rPr>
          <w:rFonts w:ascii="Arial" w:hAnsi="Arial" w:cs="Arial"/>
          <w:sz w:val="22"/>
          <w:szCs w:val="22"/>
          <w:lang w:val="en-GB"/>
        </w:rPr>
        <w:t>-1</w:t>
      </w:r>
      <w:r w:rsidR="00663FFE" w:rsidRPr="005F65AC">
        <w:rPr>
          <w:rFonts w:ascii="Arial" w:hAnsi="Arial" w:cs="Arial"/>
          <w:sz w:val="22"/>
          <w:szCs w:val="22"/>
          <w:lang w:val="en-GB"/>
        </w:rPr>
        <w:t>6</w:t>
      </w:r>
      <w:r w:rsidRPr="005F65AC">
        <w:rPr>
          <w:rFonts w:ascii="Arial" w:hAnsi="Arial" w:cs="Arial"/>
          <w:sz w:val="22"/>
          <w:szCs w:val="22"/>
          <w:lang w:val="en-GB"/>
        </w:rPr>
        <w:t xml:space="preserve"> as annexures.</w:t>
      </w:r>
    </w:p>
    <w:p w:rsidR="009E0A9B" w:rsidRPr="005F65AC" w:rsidRDefault="009E0A9B" w:rsidP="00CF66A5">
      <w:pPr>
        <w:pStyle w:val="Heading1"/>
        <w:numPr>
          <w:ilvl w:val="1"/>
          <w:numId w:val="49"/>
        </w:numPr>
        <w:spacing w:line="360" w:lineRule="auto"/>
        <w:jc w:val="both"/>
        <w:rPr>
          <w:sz w:val="22"/>
          <w:szCs w:val="22"/>
        </w:rPr>
      </w:pPr>
      <w:bookmarkStart w:id="124" w:name="_Toc404940219"/>
      <w:r w:rsidRPr="005F65AC">
        <w:rPr>
          <w:sz w:val="22"/>
          <w:szCs w:val="22"/>
        </w:rPr>
        <w:lastRenderedPageBreak/>
        <w:t>Commercial</w:t>
      </w:r>
      <w:r w:rsidR="00D33595" w:rsidRPr="005F65AC">
        <w:rPr>
          <w:sz w:val="22"/>
          <w:szCs w:val="22"/>
        </w:rPr>
        <w:t xml:space="preserve">/Technical </w:t>
      </w:r>
      <w:r w:rsidRPr="005F65AC">
        <w:rPr>
          <w:sz w:val="22"/>
          <w:szCs w:val="22"/>
        </w:rPr>
        <w:t xml:space="preserve"> Formats T1-T</w:t>
      </w:r>
      <w:r w:rsidR="00D33595" w:rsidRPr="005F65AC">
        <w:rPr>
          <w:sz w:val="22"/>
          <w:szCs w:val="22"/>
        </w:rPr>
        <w:t>9</w:t>
      </w:r>
      <w:bookmarkEnd w:id="124"/>
    </w:p>
    <w:p w:rsidR="009E0A9B" w:rsidRPr="005F65AC" w:rsidRDefault="009E0A9B" w:rsidP="00CF66A5">
      <w:pPr>
        <w:pStyle w:val="Heading1"/>
        <w:numPr>
          <w:ilvl w:val="1"/>
          <w:numId w:val="49"/>
        </w:numPr>
        <w:spacing w:line="360" w:lineRule="auto"/>
        <w:jc w:val="both"/>
        <w:rPr>
          <w:sz w:val="22"/>
          <w:szCs w:val="22"/>
        </w:rPr>
      </w:pPr>
      <w:bookmarkStart w:id="125" w:name="_Toc404940220"/>
      <w:r w:rsidRPr="005F65AC">
        <w:rPr>
          <w:sz w:val="22"/>
          <w:szCs w:val="22"/>
        </w:rPr>
        <w:t>Financial Formats F1-F</w:t>
      </w:r>
      <w:r w:rsidR="00D33595" w:rsidRPr="005F65AC">
        <w:rPr>
          <w:sz w:val="22"/>
          <w:szCs w:val="22"/>
        </w:rPr>
        <w:t>27</w:t>
      </w:r>
      <w:bookmarkEnd w:id="125"/>
      <w:r w:rsidR="00703FF7">
        <w:rPr>
          <w:sz w:val="22"/>
          <w:szCs w:val="22"/>
        </w:rPr>
        <w:t>including F-33 in Pre-Revised Format.</w:t>
      </w:r>
    </w:p>
    <w:p w:rsidR="009E0A9B" w:rsidRPr="005F65AC" w:rsidRDefault="009E0A9B" w:rsidP="00CF66A5">
      <w:pPr>
        <w:pStyle w:val="Heading1"/>
        <w:numPr>
          <w:ilvl w:val="1"/>
          <w:numId w:val="49"/>
        </w:numPr>
        <w:spacing w:line="360" w:lineRule="auto"/>
        <w:jc w:val="both"/>
        <w:rPr>
          <w:sz w:val="22"/>
          <w:szCs w:val="22"/>
        </w:rPr>
      </w:pPr>
      <w:bookmarkStart w:id="126" w:name="_Toc404940221"/>
      <w:r w:rsidRPr="005F65AC">
        <w:rPr>
          <w:sz w:val="22"/>
          <w:szCs w:val="22"/>
        </w:rPr>
        <w:t>Details Performance Formats (P1-P1</w:t>
      </w:r>
      <w:r w:rsidR="00D33595" w:rsidRPr="005F65AC">
        <w:rPr>
          <w:sz w:val="22"/>
          <w:szCs w:val="22"/>
        </w:rPr>
        <w:t>7</w:t>
      </w:r>
      <w:r w:rsidRPr="005F65AC">
        <w:rPr>
          <w:sz w:val="22"/>
          <w:szCs w:val="22"/>
        </w:rPr>
        <w:t>) in Vol</w:t>
      </w:r>
      <w:r w:rsidR="00746174" w:rsidRPr="005F65AC">
        <w:rPr>
          <w:sz w:val="22"/>
          <w:szCs w:val="22"/>
        </w:rPr>
        <w:t>-</w:t>
      </w:r>
      <w:r w:rsidRPr="005F65AC">
        <w:rPr>
          <w:sz w:val="22"/>
          <w:szCs w:val="22"/>
        </w:rPr>
        <w:t xml:space="preserve"> II</w:t>
      </w:r>
      <w:bookmarkEnd w:id="126"/>
    </w:p>
    <w:p w:rsidR="009E0A9B" w:rsidRPr="005F65AC" w:rsidRDefault="009E0A9B" w:rsidP="00CF66A5">
      <w:pPr>
        <w:pStyle w:val="Heading1"/>
        <w:numPr>
          <w:ilvl w:val="0"/>
          <w:numId w:val="49"/>
        </w:numPr>
        <w:spacing w:line="360" w:lineRule="auto"/>
        <w:jc w:val="both"/>
        <w:rPr>
          <w:sz w:val="22"/>
          <w:szCs w:val="22"/>
        </w:rPr>
      </w:pPr>
      <w:bookmarkStart w:id="127" w:name="_Toc404940222"/>
      <w:r w:rsidRPr="005F65AC">
        <w:rPr>
          <w:sz w:val="22"/>
          <w:szCs w:val="22"/>
        </w:rPr>
        <w:t>Prayer</w:t>
      </w:r>
      <w:bookmarkEnd w:id="127"/>
    </w:p>
    <w:p w:rsidR="005F65AC" w:rsidRPr="005F65AC" w:rsidRDefault="005F65AC" w:rsidP="005F65AC">
      <w:pPr>
        <w:autoSpaceDE w:val="0"/>
        <w:autoSpaceDN w:val="0"/>
        <w:adjustRightInd w:val="0"/>
        <w:spacing w:after="240" w:line="360" w:lineRule="auto"/>
        <w:ind w:left="360"/>
        <w:jc w:val="both"/>
        <w:rPr>
          <w:rFonts w:ascii="Arial" w:hAnsi="Arial" w:cs="Arial"/>
          <w:sz w:val="22"/>
          <w:szCs w:val="22"/>
          <w:lang w:val="en-GB"/>
        </w:rPr>
      </w:pPr>
      <w:bookmarkStart w:id="128" w:name="_Toc278631875"/>
      <w:bookmarkStart w:id="129" w:name="_Toc278631878"/>
      <w:bookmarkStart w:id="130" w:name="_Toc278631879"/>
      <w:bookmarkStart w:id="131" w:name="_Toc278631880"/>
      <w:bookmarkStart w:id="132" w:name="_Toc278631881"/>
      <w:bookmarkStart w:id="133" w:name="_Toc278631883"/>
      <w:bookmarkStart w:id="134" w:name="_Toc278632030"/>
      <w:bookmarkStart w:id="135" w:name="_Toc278632036"/>
      <w:bookmarkStart w:id="136" w:name="_Toc278632037"/>
      <w:bookmarkStart w:id="137" w:name="_Toc278632043"/>
      <w:bookmarkStart w:id="138" w:name="_Toc278632044"/>
      <w:bookmarkStart w:id="139" w:name="_Toc278632048"/>
      <w:bookmarkStart w:id="140" w:name="_Toc278632051"/>
      <w:bookmarkStart w:id="141" w:name="_Toc278632073"/>
      <w:bookmarkStart w:id="142" w:name="_Toc278632075"/>
      <w:bookmarkStart w:id="143" w:name="_Toc278632076"/>
      <w:bookmarkStart w:id="144" w:name="_Toc278632078"/>
      <w:bookmarkStart w:id="145" w:name="_Toc278737586"/>
      <w:bookmarkStart w:id="146" w:name="_Toc278737591"/>
      <w:bookmarkStart w:id="147" w:name="_Toc278737592"/>
      <w:bookmarkStart w:id="148" w:name="_Toc215665032"/>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5F65AC">
        <w:rPr>
          <w:rFonts w:ascii="Arial" w:hAnsi="Arial" w:cs="Arial"/>
          <w:sz w:val="22"/>
          <w:szCs w:val="22"/>
          <w:lang w:val="en-GB"/>
        </w:rPr>
        <w:t>In view of the aforesaid facts and circumstances, the licensee requests that the Hon’ble Commission may be pleased to:</w:t>
      </w:r>
    </w:p>
    <w:p w:rsidR="005F65AC" w:rsidRPr="005F65AC" w:rsidRDefault="005F65AC" w:rsidP="00AE7381">
      <w:pPr>
        <w:numPr>
          <w:ilvl w:val="0"/>
          <w:numId w:val="3"/>
        </w:numPr>
        <w:autoSpaceDE w:val="0"/>
        <w:autoSpaceDN w:val="0"/>
        <w:adjustRightInd w:val="0"/>
        <w:spacing w:after="120" w:line="360" w:lineRule="auto"/>
        <w:jc w:val="both"/>
        <w:rPr>
          <w:rFonts w:ascii="Arial" w:hAnsi="Arial" w:cs="Arial"/>
          <w:sz w:val="22"/>
          <w:szCs w:val="22"/>
          <w:lang w:val="en-GB"/>
        </w:rPr>
      </w:pPr>
      <w:r w:rsidRPr="005F65AC">
        <w:rPr>
          <w:rFonts w:ascii="Arial" w:hAnsi="Arial" w:cs="Arial"/>
          <w:sz w:val="22"/>
          <w:szCs w:val="22"/>
          <w:lang w:val="en-GB"/>
        </w:rPr>
        <w:t>Take the ARR application and Tariff Petition on record.</w:t>
      </w:r>
    </w:p>
    <w:p w:rsidR="005F65AC" w:rsidRPr="005F65AC" w:rsidRDefault="005F65AC" w:rsidP="00AE7381">
      <w:pPr>
        <w:numPr>
          <w:ilvl w:val="0"/>
          <w:numId w:val="3"/>
        </w:numPr>
        <w:autoSpaceDE w:val="0"/>
        <w:autoSpaceDN w:val="0"/>
        <w:adjustRightInd w:val="0"/>
        <w:spacing w:after="120" w:line="360" w:lineRule="auto"/>
        <w:jc w:val="both"/>
        <w:rPr>
          <w:rFonts w:ascii="Arial" w:hAnsi="Arial" w:cs="Arial"/>
          <w:sz w:val="22"/>
          <w:szCs w:val="22"/>
          <w:lang w:val="en-GB"/>
        </w:rPr>
      </w:pPr>
      <w:r w:rsidRPr="005F65AC">
        <w:rPr>
          <w:rFonts w:ascii="Arial" w:hAnsi="Arial" w:cs="Arial"/>
          <w:sz w:val="22"/>
          <w:szCs w:val="22"/>
          <w:lang w:val="en-GB"/>
        </w:rPr>
        <w:t>Approve the Annual Revenue Requirement for FY 2015-16 including amortisation of Regulatory Asset on account of uncovered gap  upto 2013-14</w:t>
      </w:r>
    </w:p>
    <w:p w:rsidR="00BC5318" w:rsidRPr="00BC5318" w:rsidRDefault="005F65AC" w:rsidP="00AE7381">
      <w:pPr>
        <w:numPr>
          <w:ilvl w:val="0"/>
          <w:numId w:val="3"/>
        </w:numPr>
        <w:autoSpaceDE w:val="0"/>
        <w:autoSpaceDN w:val="0"/>
        <w:adjustRightInd w:val="0"/>
        <w:spacing w:after="120" w:line="360" w:lineRule="auto"/>
        <w:jc w:val="both"/>
        <w:rPr>
          <w:rFonts w:ascii="Arial" w:hAnsi="Arial" w:cs="Arial"/>
          <w:sz w:val="22"/>
          <w:szCs w:val="22"/>
        </w:rPr>
      </w:pPr>
      <w:r w:rsidRPr="00BC5318">
        <w:rPr>
          <w:rFonts w:ascii="Arial" w:hAnsi="Arial" w:cs="Arial"/>
          <w:sz w:val="22"/>
          <w:szCs w:val="22"/>
          <w:lang w:val="en-GB"/>
        </w:rPr>
        <w:t>Bridge the Revenue Gap for the FY 2015-16 through reduction in Bulk Supply Tariff (BST),  grant of subsidy from the Government of Odisha as per Section 65 of the Electricity Act 2003 and balance, if any increase in Retail Supply Tariff.</w:t>
      </w:r>
    </w:p>
    <w:p w:rsidR="005F65AC" w:rsidRPr="00BC5318" w:rsidRDefault="005F65AC" w:rsidP="00AE7381">
      <w:pPr>
        <w:numPr>
          <w:ilvl w:val="0"/>
          <w:numId w:val="3"/>
        </w:numPr>
        <w:autoSpaceDE w:val="0"/>
        <w:autoSpaceDN w:val="0"/>
        <w:adjustRightInd w:val="0"/>
        <w:spacing w:after="120" w:line="360" w:lineRule="auto"/>
        <w:jc w:val="both"/>
        <w:rPr>
          <w:rFonts w:ascii="Arial" w:hAnsi="Arial" w:cs="Arial"/>
          <w:sz w:val="22"/>
          <w:szCs w:val="22"/>
        </w:rPr>
      </w:pPr>
      <w:r w:rsidRPr="00BC5318">
        <w:rPr>
          <w:rFonts w:ascii="Arial" w:hAnsi="Arial" w:cs="Arial"/>
          <w:sz w:val="22"/>
          <w:szCs w:val="22"/>
        </w:rPr>
        <w:t>To consider the Loss Trajectory accepted by Ministry of Power, Govt. of India.</w:t>
      </w:r>
    </w:p>
    <w:p w:rsidR="005F65AC" w:rsidRPr="005F65AC" w:rsidRDefault="005F65AC" w:rsidP="00AE7381">
      <w:pPr>
        <w:numPr>
          <w:ilvl w:val="0"/>
          <w:numId w:val="3"/>
        </w:numPr>
        <w:spacing w:after="120" w:line="360" w:lineRule="auto"/>
        <w:jc w:val="both"/>
        <w:rPr>
          <w:rFonts w:ascii="Arial" w:hAnsi="Arial" w:cs="Arial"/>
          <w:sz w:val="22"/>
          <w:szCs w:val="22"/>
        </w:rPr>
      </w:pPr>
      <w:r w:rsidRPr="005F65AC">
        <w:rPr>
          <w:rFonts w:ascii="Arial" w:hAnsi="Arial" w:cs="Arial"/>
          <w:sz w:val="22"/>
          <w:szCs w:val="22"/>
        </w:rPr>
        <w:t>To give effect to the ATE Order dated 13the December 2006, 8</w:t>
      </w:r>
      <w:r w:rsidRPr="005F65AC">
        <w:rPr>
          <w:rFonts w:ascii="Arial" w:hAnsi="Arial" w:cs="Arial"/>
          <w:sz w:val="22"/>
          <w:szCs w:val="22"/>
          <w:vertAlign w:val="superscript"/>
        </w:rPr>
        <w:t>th</w:t>
      </w:r>
      <w:r w:rsidRPr="005F65AC">
        <w:rPr>
          <w:rFonts w:ascii="Arial" w:hAnsi="Arial" w:cs="Arial"/>
          <w:sz w:val="22"/>
          <w:szCs w:val="22"/>
        </w:rPr>
        <w:t xml:space="preserve"> November 2010</w:t>
      </w:r>
      <w:r w:rsidR="00AE7381">
        <w:rPr>
          <w:rFonts w:ascii="Arial" w:hAnsi="Arial" w:cs="Arial"/>
          <w:sz w:val="22"/>
          <w:szCs w:val="22"/>
        </w:rPr>
        <w:t xml:space="preserve">, </w:t>
      </w:r>
      <w:r w:rsidRPr="005F65AC">
        <w:rPr>
          <w:rFonts w:ascii="Arial" w:hAnsi="Arial" w:cs="Arial"/>
          <w:sz w:val="22"/>
          <w:szCs w:val="22"/>
        </w:rPr>
        <w:t>3</w:t>
      </w:r>
      <w:r w:rsidRPr="005F65AC">
        <w:rPr>
          <w:rFonts w:ascii="Arial" w:hAnsi="Arial" w:cs="Arial"/>
          <w:sz w:val="22"/>
          <w:szCs w:val="22"/>
          <w:vertAlign w:val="superscript"/>
        </w:rPr>
        <w:t>rd</w:t>
      </w:r>
      <w:r w:rsidRPr="005F65AC">
        <w:rPr>
          <w:rFonts w:ascii="Arial" w:hAnsi="Arial" w:cs="Arial"/>
          <w:sz w:val="22"/>
          <w:szCs w:val="22"/>
        </w:rPr>
        <w:t xml:space="preserve"> July 2013 and 11</w:t>
      </w:r>
      <w:r w:rsidRPr="005F65AC">
        <w:rPr>
          <w:rFonts w:ascii="Arial" w:hAnsi="Arial" w:cs="Arial"/>
          <w:sz w:val="22"/>
          <w:szCs w:val="22"/>
          <w:vertAlign w:val="superscript"/>
        </w:rPr>
        <w:t>th</w:t>
      </w:r>
      <w:r w:rsidRPr="005F65AC">
        <w:rPr>
          <w:rFonts w:ascii="Arial" w:hAnsi="Arial" w:cs="Arial"/>
          <w:sz w:val="22"/>
          <w:szCs w:val="22"/>
        </w:rPr>
        <w:t xml:space="preserve"> February 2014 on different RST issues such as fixation of Distribution loss target and truing up etc.</w:t>
      </w:r>
    </w:p>
    <w:p w:rsidR="005F65AC" w:rsidRPr="005F65AC" w:rsidRDefault="005F65AC" w:rsidP="00AE7381">
      <w:pPr>
        <w:numPr>
          <w:ilvl w:val="0"/>
          <w:numId w:val="3"/>
        </w:numPr>
        <w:spacing w:after="120" w:line="360" w:lineRule="auto"/>
        <w:jc w:val="both"/>
        <w:rPr>
          <w:rFonts w:ascii="Arial" w:hAnsi="Arial" w:cs="Arial"/>
          <w:sz w:val="22"/>
          <w:szCs w:val="22"/>
        </w:rPr>
      </w:pPr>
      <w:r w:rsidRPr="005F65AC">
        <w:rPr>
          <w:rFonts w:ascii="Arial" w:hAnsi="Arial" w:cs="Arial"/>
          <w:sz w:val="22"/>
          <w:szCs w:val="22"/>
        </w:rPr>
        <w:t>To direct Gridco and GoO to cede assets of Wesco for raising of loans for capex activities as directed by this Ho’ble Commission in several directives, including Order 29</w:t>
      </w:r>
      <w:r w:rsidRPr="005F65AC">
        <w:rPr>
          <w:rFonts w:ascii="Arial" w:hAnsi="Arial" w:cs="Arial"/>
          <w:sz w:val="22"/>
          <w:szCs w:val="22"/>
          <w:vertAlign w:val="superscript"/>
        </w:rPr>
        <w:t>th</w:t>
      </w:r>
      <w:r w:rsidRPr="005F65AC">
        <w:rPr>
          <w:rFonts w:ascii="Arial" w:hAnsi="Arial" w:cs="Arial"/>
          <w:sz w:val="22"/>
          <w:szCs w:val="22"/>
        </w:rPr>
        <w:t xml:space="preserve"> and 30</w:t>
      </w:r>
      <w:r w:rsidRPr="005F65AC">
        <w:rPr>
          <w:rFonts w:ascii="Arial" w:hAnsi="Arial" w:cs="Arial"/>
          <w:sz w:val="22"/>
          <w:szCs w:val="22"/>
          <w:vertAlign w:val="superscript"/>
        </w:rPr>
        <w:t xml:space="preserve">th </w:t>
      </w:r>
      <w:r w:rsidRPr="005F65AC">
        <w:rPr>
          <w:rFonts w:ascii="Arial" w:hAnsi="Arial" w:cs="Arial"/>
          <w:sz w:val="22"/>
          <w:szCs w:val="22"/>
        </w:rPr>
        <w:t xml:space="preserve">March 2012. </w:t>
      </w:r>
    </w:p>
    <w:p w:rsidR="005F65AC" w:rsidRPr="005F65AC" w:rsidRDefault="005F65AC" w:rsidP="00AE7381">
      <w:pPr>
        <w:numPr>
          <w:ilvl w:val="0"/>
          <w:numId w:val="3"/>
        </w:numPr>
        <w:autoSpaceDE w:val="0"/>
        <w:autoSpaceDN w:val="0"/>
        <w:adjustRightInd w:val="0"/>
        <w:spacing w:after="120" w:line="360" w:lineRule="auto"/>
        <w:jc w:val="both"/>
        <w:rPr>
          <w:rFonts w:ascii="Arial" w:hAnsi="Arial" w:cs="Arial"/>
          <w:b/>
          <w:sz w:val="22"/>
          <w:szCs w:val="22"/>
          <w:u w:val="single"/>
          <w:lang w:val="en-GB"/>
        </w:rPr>
      </w:pPr>
      <w:r w:rsidRPr="005F65AC">
        <w:rPr>
          <w:rFonts w:ascii="Arial" w:hAnsi="Arial" w:cs="Arial"/>
          <w:sz w:val="22"/>
          <w:szCs w:val="22"/>
        </w:rPr>
        <w:t>To prioritize escrow relaxation as prayed for by the Licensee by considering  payment of Salary and R&amp;M expenses on equal priority (pari passu basis) with power purchase bill.</w:t>
      </w:r>
    </w:p>
    <w:p w:rsidR="005F65AC" w:rsidRPr="005F65AC" w:rsidRDefault="005F65AC" w:rsidP="00AE7381">
      <w:pPr>
        <w:numPr>
          <w:ilvl w:val="0"/>
          <w:numId w:val="3"/>
        </w:numPr>
        <w:autoSpaceDE w:val="0"/>
        <w:autoSpaceDN w:val="0"/>
        <w:adjustRightInd w:val="0"/>
        <w:spacing w:after="120" w:line="360" w:lineRule="auto"/>
        <w:jc w:val="both"/>
        <w:rPr>
          <w:rFonts w:ascii="Arial" w:hAnsi="Arial" w:cs="Arial"/>
          <w:b/>
          <w:sz w:val="22"/>
          <w:szCs w:val="22"/>
          <w:u w:val="single"/>
          <w:lang w:val="en-GB"/>
        </w:rPr>
      </w:pPr>
      <w:r w:rsidRPr="005F65AC">
        <w:rPr>
          <w:rFonts w:ascii="Arial" w:hAnsi="Arial" w:cs="Arial"/>
          <w:sz w:val="22"/>
          <w:szCs w:val="22"/>
        </w:rPr>
        <w:t>Permit DISCOMs to consider automatic relaxation of escrow from 16</w:t>
      </w:r>
      <w:r w:rsidRPr="005F65AC">
        <w:rPr>
          <w:rFonts w:ascii="Arial" w:hAnsi="Arial" w:cs="Arial"/>
          <w:sz w:val="22"/>
          <w:szCs w:val="22"/>
          <w:vertAlign w:val="superscript"/>
        </w:rPr>
        <w:t>th</w:t>
      </w:r>
      <w:r w:rsidRPr="005F65AC">
        <w:rPr>
          <w:rFonts w:ascii="Arial" w:hAnsi="Arial" w:cs="Arial"/>
          <w:sz w:val="22"/>
          <w:szCs w:val="22"/>
        </w:rPr>
        <w:t xml:space="preserve"> Day of payment of BST bill if GRIDCO don’t relax the same or don’t deny relaxation with specific reason.</w:t>
      </w:r>
    </w:p>
    <w:p w:rsidR="005F65AC" w:rsidRPr="005F65AC" w:rsidRDefault="005F65AC" w:rsidP="00AE7381">
      <w:pPr>
        <w:numPr>
          <w:ilvl w:val="0"/>
          <w:numId w:val="3"/>
        </w:numPr>
        <w:autoSpaceDE w:val="0"/>
        <w:autoSpaceDN w:val="0"/>
        <w:adjustRightInd w:val="0"/>
        <w:spacing w:after="120" w:line="360" w:lineRule="auto"/>
        <w:jc w:val="both"/>
        <w:rPr>
          <w:rFonts w:ascii="Arial" w:hAnsi="Arial" w:cs="Arial"/>
          <w:b/>
          <w:sz w:val="22"/>
          <w:szCs w:val="22"/>
          <w:u w:val="single"/>
          <w:lang w:val="en-GB"/>
        </w:rPr>
      </w:pPr>
      <w:r w:rsidRPr="005F65AC">
        <w:rPr>
          <w:rFonts w:ascii="Arial" w:hAnsi="Arial" w:cs="Arial"/>
          <w:sz w:val="22"/>
          <w:szCs w:val="22"/>
        </w:rPr>
        <w:t>During Current year GRIDCO has not relaxed escrow for salary till Nov 14 except the two months of August 14 and September 14.This kind of situation may be avoided in future.</w:t>
      </w:r>
    </w:p>
    <w:p w:rsidR="005F65AC" w:rsidRPr="00AE7381" w:rsidRDefault="005F65AC" w:rsidP="00AE7381">
      <w:pPr>
        <w:numPr>
          <w:ilvl w:val="0"/>
          <w:numId w:val="3"/>
        </w:numPr>
        <w:autoSpaceDE w:val="0"/>
        <w:autoSpaceDN w:val="0"/>
        <w:adjustRightInd w:val="0"/>
        <w:spacing w:after="120" w:line="360" w:lineRule="auto"/>
        <w:jc w:val="both"/>
        <w:rPr>
          <w:rFonts w:ascii="Arial" w:hAnsi="Arial" w:cs="Arial"/>
          <w:b/>
          <w:sz w:val="22"/>
          <w:szCs w:val="22"/>
          <w:u w:val="single"/>
          <w:lang w:val="en-GB"/>
        </w:rPr>
      </w:pPr>
      <w:r w:rsidRPr="005F65AC">
        <w:rPr>
          <w:rFonts w:ascii="Arial" w:hAnsi="Arial" w:cs="Arial"/>
          <w:sz w:val="22"/>
          <w:szCs w:val="22"/>
        </w:rPr>
        <w:t xml:space="preserve">To do away with Intra state ABT till generators are involved. </w:t>
      </w:r>
    </w:p>
    <w:p w:rsidR="00AE7381" w:rsidRPr="005F65AC" w:rsidRDefault="00AE7381" w:rsidP="00AE7381">
      <w:pPr>
        <w:autoSpaceDE w:val="0"/>
        <w:autoSpaceDN w:val="0"/>
        <w:adjustRightInd w:val="0"/>
        <w:spacing w:after="120" w:line="360" w:lineRule="auto"/>
        <w:ind w:left="1080"/>
        <w:jc w:val="both"/>
        <w:rPr>
          <w:rFonts w:ascii="Arial" w:hAnsi="Arial" w:cs="Arial"/>
          <w:b/>
          <w:sz w:val="22"/>
          <w:szCs w:val="22"/>
          <w:u w:val="single"/>
          <w:lang w:val="en-GB"/>
        </w:rPr>
      </w:pPr>
    </w:p>
    <w:p w:rsidR="005F65AC" w:rsidRPr="005F65AC" w:rsidRDefault="005F65AC" w:rsidP="00AE7381">
      <w:pPr>
        <w:autoSpaceDE w:val="0"/>
        <w:autoSpaceDN w:val="0"/>
        <w:adjustRightInd w:val="0"/>
        <w:spacing w:after="120" w:line="360" w:lineRule="auto"/>
        <w:ind w:left="1080"/>
        <w:jc w:val="both"/>
        <w:rPr>
          <w:rFonts w:ascii="Arial" w:hAnsi="Arial" w:cs="Arial"/>
          <w:b/>
          <w:sz w:val="22"/>
          <w:szCs w:val="22"/>
          <w:u w:val="single"/>
          <w:lang w:val="en-GB"/>
        </w:rPr>
      </w:pPr>
      <w:r w:rsidRPr="005F65AC">
        <w:rPr>
          <w:rFonts w:ascii="Arial" w:hAnsi="Arial" w:cs="Arial"/>
          <w:b/>
          <w:sz w:val="22"/>
          <w:szCs w:val="22"/>
          <w:u w:val="single"/>
          <w:lang w:val="en-GB"/>
        </w:rPr>
        <w:lastRenderedPageBreak/>
        <w:t>Allow the following Tariff rationalisation measures as proposed</w:t>
      </w:r>
    </w:p>
    <w:p w:rsidR="005F65AC" w:rsidRPr="005F65AC" w:rsidRDefault="005F65AC" w:rsidP="00AE7381">
      <w:pPr>
        <w:numPr>
          <w:ilvl w:val="0"/>
          <w:numId w:val="3"/>
        </w:numPr>
        <w:autoSpaceDE w:val="0"/>
        <w:autoSpaceDN w:val="0"/>
        <w:adjustRightInd w:val="0"/>
        <w:spacing w:after="120" w:line="360" w:lineRule="auto"/>
        <w:jc w:val="both"/>
        <w:rPr>
          <w:rFonts w:ascii="Arial" w:hAnsi="Arial" w:cs="Arial"/>
          <w:sz w:val="22"/>
          <w:szCs w:val="22"/>
        </w:rPr>
      </w:pPr>
      <w:r w:rsidRPr="005F65AC">
        <w:rPr>
          <w:rFonts w:ascii="Arial" w:hAnsi="Arial" w:cs="Arial"/>
          <w:sz w:val="22"/>
          <w:szCs w:val="22"/>
        </w:rPr>
        <w:t xml:space="preserve">Introduction of KVAH Billing </w:t>
      </w:r>
    </w:p>
    <w:p w:rsidR="005F65AC" w:rsidRPr="005F65AC" w:rsidRDefault="00AE7381" w:rsidP="00AE7381">
      <w:pPr>
        <w:numPr>
          <w:ilvl w:val="0"/>
          <w:numId w:val="3"/>
        </w:numPr>
        <w:autoSpaceDE w:val="0"/>
        <w:autoSpaceDN w:val="0"/>
        <w:adjustRightInd w:val="0"/>
        <w:spacing w:after="120" w:line="360" w:lineRule="auto"/>
        <w:jc w:val="both"/>
        <w:rPr>
          <w:rFonts w:ascii="Arial" w:hAnsi="Arial" w:cs="Arial"/>
          <w:sz w:val="22"/>
          <w:szCs w:val="22"/>
        </w:rPr>
      </w:pPr>
      <w:r>
        <w:rPr>
          <w:rFonts w:ascii="Arial" w:hAnsi="Arial" w:cs="Arial"/>
          <w:sz w:val="22"/>
          <w:szCs w:val="22"/>
        </w:rPr>
        <w:t>Two-</w:t>
      </w:r>
      <w:r w:rsidR="005F65AC" w:rsidRPr="005F65AC">
        <w:rPr>
          <w:rFonts w:ascii="Arial" w:hAnsi="Arial" w:cs="Arial"/>
          <w:sz w:val="22"/>
          <w:szCs w:val="22"/>
        </w:rPr>
        <w:t>part tariff be made applicable in respect of Emergency power supply category to Captive Power Plants (CPP).</w:t>
      </w:r>
    </w:p>
    <w:p w:rsidR="005F65AC" w:rsidRPr="005F65AC" w:rsidRDefault="005F65AC" w:rsidP="00AE7381">
      <w:pPr>
        <w:numPr>
          <w:ilvl w:val="0"/>
          <w:numId w:val="3"/>
        </w:numPr>
        <w:autoSpaceDE w:val="0"/>
        <w:autoSpaceDN w:val="0"/>
        <w:adjustRightInd w:val="0"/>
        <w:spacing w:after="120" w:line="360" w:lineRule="auto"/>
        <w:jc w:val="both"/>
        <w:rPr>
          <w:rFonts w:ascii="Arial" w:hAnsi="Arial" w:cs="Arial"/>
          <w:sz w:val="22"/>
          <w:szCs w:val="22"/>
        </w:rPr>
      </w:pPr>
      <w:r w:rsidRPr="005F65AC">
        <w:rPr>
          <w:rFonts w:ascii="Arial" w:hAnsi="Arial" w:cs="Arial"/>
          <w:sz w:val="22"/>
          <w:szCs w:val="22"/>
        </w:rPr>
        <w:t>Exclusion of Meter Rent, Penalties and DPS from the computation of Miscellaneous Revenue.</w:t>
      </w:r>
    </w:p>
    <w:p w:rsidR="005F65AC" w:rsidRPr="005F65AC" w:rsidRDefault="005F65AC" w:rsidP="00AE7381">
      <w:pPr>
        <w:numPr>
          <w:ilvl w:val="0"/>
          <w:numId w:val="3"/>
        </w:numPr>
        <w:autoSpaceDE w:val="0"/>
        <w:autoSpaceDN w:val="0"/>
        <w:adjustRightInd w:val="0"/>
        <w:spacing w:after="120" w:line="360" w:lineRule="auto"/>
        <w:jc w:val="both"/>
        <w:rPr>
          <w:rFonts w:ascii="Arial" w:hAnsi="Arial" w:cs="Arial"/>
          <w:sz w:val="22"/>
          <w:szCs w:val="22"/>
        </w:rPr>
      </w:pPr>
      <w:r w:rsidRPr="005F65AC">
        <w:rPr>
          <w:rFonts w:ascii="Arial" w:hAnsi="Arial" w:cs="Arial"/>
          <w:sz w:val="22"/>
          <w:szCs w:val="22"/>
        </w:rPr>
        <w:t>Extending of levy of reliability surcharge from the consumers availing power supply through shared industrial feeders.</w:t>
      </w:r>
    </w:p>
    <w:p w:rsidR="005F65AC" w:rsidRPr="005F65AC" w:rsidRDefault="005F65AC" w:rsidP="00AE7381">
      <w:pPr>
        <w:numPr>
          <w:ilvl w:val="0"/>
          <w:numId w:val="3"/>
        </w:numPr>
        <w:autoSpaceDE w:val="0"/>
        <w:autoSpaceDN w:val="0"/>
        <w:adjustRightInd w:val="0"/>
        <w:spacing w:after="120" w:line="360" w:lineRule="auto"/>
        <w:jc w:val="both"/>
        <w:rPr>
          <w:rFonts w:ascii="Arial" w:hAnsi="Arial" w:cs="Arial"/>
          <w:sz w:val="22"/>
          <w:szCs w:val="22"/>
        </w:rPr>
      </w:pPr>
      <w:r w:rsidRPr="005F65AC">
        <w:rPr>
          <w:rFonts w:ascii="Arial" w:hAnsi="Arial" w:cs="Arial"/>
          <w:sz w:val="22"/>
          <w:szCs w:val="22"/>
        </w:rPr>
        <w:t>Introduction of MMFC for Consumers with Contract Demand &lt;110 KVA on the basis of MD recorded or connected load whichever is higher.</w:t>
      </w:r>
    </w:p>
    <w:p w:rsidR="005F65AC" w:rsidRPr="005F65AC" w:rsidRDefault="005F65AC" w:rsidP="00AE7381">
      <w:pPr>
        <w:numPr>
          <w:ilvl w:val="0"/>
          <w:numId w:val="3"/>
        </w:numPr>
        <w:autoSpaceDE w:val="0"/>
        <w:autoSpaceDN w:val="0"/>
        <w:adjustRightInd w:val="0"/>
        <w:spacing w:after="120" w:line="360" w:lineRule="auto"/>
        <w:jc w:val="both"/>
        <w:rPr>
          <w:rFonts w:ascii="Arial" w:hAnsi="Arial" w:cs="Arial"/>
          <w:sz w:val="22"/>
          <w:szCs w:val="22"/>
        </w:rPr>
      </w:pPr>
      <w:r w:rsidRPr="005F65AC">
        <w:rPr>
          <w:rFonts w:ascii="Arial" w:hAnsi="Arial" w:cs="Arial"/>
          <w:sz w:val="22"/>
          <w:szCs w:val="22"/>
        </w:rPr>
        <w:t>Applicability of Demand Charges for GP&gt; 70KVA and &lt; 110KVA and HT Industrial(M) supply</w:t>
      </w:r>
    </w:p>
    <w:p w:rsidR="005F65AC" w:rsidRPr="005F65AC" w:rsidRDefault="005F65AC" w:rsidP="00AE7381">
      <w:pPr>
        <w:numPr>
          <w:ilvl w:val="0"/>
          <w:numId w:val="3"/>
        </w:numPr>
        <w:autoSpaceDE w:val="0"/>
        <w:autoSpaceDN w:val="0"/>
        <w:adjustRightInd w:val="0"/>
        <w:spacing w:after="120" w:line="360" w:lineRule="auto"/>
        <w:jc w:val="both"/>
        <w:rPr>
          <w:rFonts w:ascii="Arial" w:hAnsi="Arial" w:cs="Arial"/>
          <w:b/>
          <w:sz w:val="22"/>
          <w:szCs w:val="22"/>
        </w:rPr>
      </w:pPr>
      <w:r w:rsidRPr="005F65AC">
        <w:rPr>
          <w:rFonts w:ascii="Arial" w:hAnsi="Arial" w:cs="Arial"/>
          <w:sz w:val="22"/>
          <w:szCs w:val="22"/>
        </w:rPr>
        <w:t>2% Rebate be allowed on</w:t>
      </w:r>
      <w:r w:rsidRPr="005F65AC">
        <w:rPr>
          <w:rFonts w:ascii="Arial" w:hAnsi="Arial" w:cs="Arial"/>
          <w:b/>
          <w:sz w:val="22"/>
          <w:szCs w:val="22"/>
          <w:u w:val="single"/>
          <w:lang w:val="en-GB"/>
        </w:rPr>
        <w:t xml:space="preserve"> payment of current monthly BST bills (excluding all </w:t>
      </w:r>
      <w:r w:rsidR="00AE7381">
        <w:rPr>
          <w:rFonts w:ascii="Arial" w:hAnsi="Arial" w:cs="Arial"/>
          <w:b/>
          <w:sz w:val="22"/>
          <w:szCs w:val="22"/>
          <w:lang w:val="en-GB"/>
        </w:rPr>
        <w:t xml:space="preserve">arrears) within 3 days </w:t>
      </w:r>
      <w:r w:rsidRPr="00AE7381">
        <w:rPr>
          <w:rFonts w:ascii="Arial" w:hAnsi="Arial" w:cs="Arial"/>
          <w:b/>
          <w:sz w:val="22"/>
          <w:szCs w:val="22"/>
          <w:lang w:val="en-GB"/>
        </w:rPr>
        <w:t>time instead of 2 working da</w:t>
      </w:r>
      <w:r w:rsidRPr="00AE7381">
        <w:rPr>
          <w:rFonts w:ascii="Arial" w:hAnsi="Arial" w:cs="Arial"/>
          <w:b/>
          <w:sz w:val="22"/>
          <w:szCs w:val="22"/>
        </w:rPr>
        <w:t>ys or 7</w:t>
      </w:r>
      <w:r w:rsidRPr="00AE7381">
        <w:rPr>
          <w:rFonts w:ascii="Arial" w:hAnsi="Arial" w:cs="Arial"/>
          <w:b/>
          <w:sz w:val="22"/>
          <w:szCs w:val="22"/>
          <w:vertAlign w:val="superscript"/>
        </w:rPr>
        <w:t>th</w:t>
      </w:r>
      <w:r w:rsidRPr="00AE7381">
        <w:rPr>
          <w:rFonts w:ascii="Arial" w:hAnsi="Arial" w:cs="Arial"/>
          <w:b/>
          <w:sz w:val="22"/>
          <w:szCs w:val="22"/>
        </w:rPr>
        <w:t xml:space="preserve"> of next month whichever is later. </w:t>
      </w:r>
    </w:p>
    <w:p w:rsidR="005F65AC" w:rsidRPr="005F65AC" w:rsidRDefault="005F65AC" w:rsidP="00AE7381">
      <w:pPr>
        <w:numPr>
          <w:ilvl w:val="0"/>
          <w:numId w:val="3"/>
        </w:numPr>
        <w:autoSpaceDE w:val="0"/>
        <w:autoSpaceDN w:val="0"/>
        <w:adjustRightInd w:val="0"/>
        <w:spacing w:after="120" w:line="360" w:lineRule="auto"/>
        <w:jc w:val="both"/>
        <w:rPr>
          <w:rFonts w:ascii="Arial" w:hAnsi="Arial" w:cs="Arial"/>
          <w:sz w:val="22"/>
          <w:szCs w:val="22"/>
        </w:rPr>
      </w:pPr>
      <w:r w:rsidRPr="005F65AC">
        <w:rPr>
          <w:rFonts w:ascii="Arial" w:hAnsi="Arial" w:cs="Arial"/>
          <w:sz w:val="22"/>
          <w:szCs w:val="22"/>
        </w:rPr>
        <w:t>GoO may be directed to provide subsidy to meet cost of supply to the consumers fed from the dedicated agriculture and fishery feeders.</w:t>
      </w:r>
    </w:p>
    <w:p w:rsidR="005F65AC" w:rsidRPr="005F65AC" w:rsidRDefault="005F65AC" w:rsidP="00AE7381">
      <w:pPr>
        <w:numPr>
          <w:ilvl w:val="0"/>
          <w:numId w:val="3"/>
        </w:numPr>
        <w:autoSpaceDE w:val="0"/>
        <w:autoSpaceDN w:val="0"/>
        <w:adjustRightInd w:val="0"/>
        <w:spacing w:after="120" w:line="360" w:lineRule="auto"/>
        <w:jc w:val="both"/>
        <w:rPr>
          <w:rFonts w:ascii="Arial" w:hAnsi="Arial" w:cs="Arial"/>
          <w:sz w:val="22"/>
          <w:szCs w:val="22"/>
        </w:rPr>
      </w:pPr>
      <w:r w:rsidRPr="005F65AC">
        <w:rPr>
          <w:rFonts w:ascii="Arial" w:hAnsi="Arial" w:cs="Arial"/>
          <w:sz w:val="22"/>
          <w:szCs w:val="22"/>
        </w:rPr>
        <w:t>Addressing of negative cash flow of Licensee by giving special relief towards reduction of BST and increasing amortization of Regulatory Assets.</w:t>
      </w:r>
    </w:p>
    <w:p w:rsidR="005F65AC" w:rsidRPr="005F65AC" w:rsidRDefault="005F65AC" w:rsidP="00AE7381">
      <w:pPr>
        <w:numPr>
          <w:ilvl w:val="0"/>
          <w:numId w:val="3"/>
        </w:numPr>
        <w:autoSpaceDE w:val="0"/>
        <w:autoSpaceDN w:val="0"/>
        <w:adjustRightInd w:val="0"/>
        <w:spacing w:after="120" w:line="360" w:lineRule="auto"/>
        <w:jc w:val="both"/>
        <w:rPr>
          <w:rFonts w:ascii="Arial" w:hAnsi="Arial" w:cs="Arial"/>
          <w:sz w:val="22"/>
          <w:szCs w:val="22"/>
        </w:rPr>
      </w:pPr>
      <w:r w:rsidRPr="005F65AC">
        <w:rPr>
          <w:rFonts w:ascii="Arial" w:hAnsi="Arial" w:cs="Arial"/>
          <w:sz w:val="22"/>
          <w:szCs w:val="22"/>
        </w:rPr>
        <w:t>Other Tariff rationalization measures and concerns viz. increase of meter rent in case of Pre-paid meters etc. as proposed in this application</w:t>
      </w:r>
    </w:p>
    <w:p w:rsidR="005F65AC" w:rsidRPr="005F65AC" w:rsidRDefault="005F65AC" w:rsidP="00AE7381">
      <w:pPr>
        <w:numPr>
          <w:ilvl w:val="0"/>
          <w:numId w:val="3"/>
        </w:numPr>
        <w:autoSpaceDE w:val="0"/>
        <w:autoSpaceDN w:val="0"/>
        <w:adjustRightInd w:val="0"/>
        <w:spacing w:after="120" w:line="360" w:lineRule="auto"/>
        <w:jc w:val="both"/>
        <w:rPr>
          <w:rFonts w:ascii="Arial" w:hAnsi="Arial" w:cs="Arial"/>
          <w:sz w:val="22"/>
          <w:szCs w:val="22"/>
          <w:lang w:val="en-GB"/>
        </w:rPr>
      </w:pPr>
      <w:r w:rsidRPr="005F65AC">
        <w:rPr>
          <w:rFonts w:ascii="Arial" w:hAnsi="Arial" w:cs="Arial"/>
          <w:sz w:val="22"/>
          <w:szCs w:val="22"/>
          <w:lang w:val="en-GB"/>
        </w:rPr>
        <w:t xml:space="preserve">Allowing recovery of </w:t>
      </w:r>
      <w:r w:rsidR="00BD5F28">
        <w:rPr>
          <w:rFonts w:ascii="Arial" w:hAnsi="Arial" w:cs="Arial"/>
          <w:sz w:val="22"/>
          <w:szCs w:val="22"/>
          <w:lang w:val="en-GB"/>
        </w:rPr>
        <w:t>5p/u towards Organisational Set</w:t>
      </w:r>
      <w:r w:rsidRPr="005F65AC">
        <w:rPr>
          <w:rFonts w:ascii="Arial" w:hAnsi="Arial" w:cs="Arial"/>
          <w:sz w:val="22"/>
          <w:szCs w:val="22"/>
          <w:lang w:val="en-GB"/>
        </w:rPr>
        <w:t>up Cost for Disaster Management.</w:t>
      </w:r>
    </w:p>
    <w:p w:rsidR="005F65AC" w:rsidRPr="005F65AC" w:rsidRDefault="005F65AC" w:rsidP="00AE7381">
      <w:pPr>
        <w:numPr>
          <w:ilvl w:val="0"/>
          <w:numId w:val="3"/>
        </w:numPr>
        <w:autoSpaceDE w:val="0"/>
        <w:autoSpaceDN w:val="0"/>
        <w:adjustRightInd w:val="0"/>
        <w:spacing w:after="120" w:line="360" w:lineRule="auto"/>
        <w:jc w:val="both"/>
        <w:rPr>
          <w:rFonts w:ascii="Arial" w:hAnsi="Arial" w:cs="Arial"/>
          <w:sz w:val="22"/>
          <w:szCs w:val="22"/>
          <w:lang w:val="en-GB"/>
        </w:rPr>
      </w:pPr>
      <w:r w:rsidRPr="005F65AC">
        <w:rPr>
          <w:rFonts w:ascii="Arial" w:hAnsi="Arial" w:cs="Arial"/>
          <w:sz w:val="22"/>
          <w:szCs w:val="22"/>
          <w:lang w:val="en-GB"/>
        </w:rPr>
        <w:t>Allow the licensee to submit additional documents, modify the present petition, if so required, during the proceeding</w:t>
      </w:r>
      <w:r w:rsidR="00AE7381">
        <w:rPr>
          <w:rFonts w:ascii="Arial" w:hAnsi="Arial" w:cs="Arial"/>
          <w:sz w:val="22"/>
          <w:szCs w:val="22"/>
          <w:lang w:val="en-GB"/>
        </w:rPr>
        <w:t>s</w:t>
      </w:r>
      <w:r w:rsidRPr="005F65AC">
        <w:rPr>
          <w:rFonts w:ascii="Arial" w:hAnsi="Arial" w:cs="Arial"/>
          <w:sz w:val="22"/>
          <w:szCs w:val="22"/>
          <w:lang w:val="en-GB"/>
        </w:rPr>
        <w:t xml:space="preserve"> of this application.</w:t>
      </w:r>
    </w:p>
    <w:p w:rsidR="005F65AC" w:rsidRPr="005F65AC" w:rsidRDefault="005F65AC" w:rsidP="00AE7381">
      <w:pPr>
        <w:numPr>
          <w:ilvl w:val="0"/>
          <w:numId w:val="3"/>
        </w:numPr>
        <w:autoSpaceDE w:val="0"/>
        <w:autoSpaceDN w:val="0"/>
        <w:adjustRightInd w:val="0"/>
        <w:spacing w:after="120" w:line="360" w:lineRule="auto"/>
        <w:jc w:val="both"/>
        <w:rPr>
          <w:rFonts w:ascii="Arial" w:hAnsi="Arial" w:cs="Arial"/>
          <w:sz w:val="22"/>
          <w:szCs w:val="22"/>
          <w:lang w:val="en-GB"/>
        </w:rPr>
      </w:pPr>
      <w:r w:rsidRPr="005F65AC">
        <w:rPr>
          <w:rFonts w:ascii="Arial" w:hAnsi="Arial" w:cs="Arial"/>
          <w:sz w:val="22"/>
          <w:szCs w:val="22"/>
          <w:lang w:val="en-GB"/>
        </w:rPr>
        <w:t>Any other relief, order or direction which the Hon’ble Commission deems fit.</w:t>
      </w:r>
    </w:p>
    <w:p w:rsidR="00E23F3E" w:rsidRDefault="00E23F3E" w:rsidP="00E23F3E">
      <w:pPr>
        <w:pStyle w:val="BodyText2"/>
        <w:spacing w:before="0" w:after="0"/>
        <w:ind w:left="5040" w:firstLine="720"/>
        <w:jc w:val="both"/>
        <w:rPr>
          <w:rFonts w:cs="Arial"/>
          <w:b/>
          <w:sz w:val="22"/>
          <w:szCs w:val="22"/>
        </w:rPr>
      </w:pPr>
    </w:p>
    <w:p w:rsidR="00E23F3E" w:rsidRDefault="00E23F3E" w:rsidP="005F65AC">
      <w:pPr>
        <w:pStyle w:val="BodyText2"/>
        <w:spacing w:before="0" w:after="0" w:line="360" w:lineRule="auto"/>
        <w:ind w:left="5040" w:firstLine="720"/>
        <w:jc w:val="both"/>
        <w:rPr>
          <w:rFonts w:cs="Arial"/>
          <w:b/>
          <w:sz w:val="22"/>
          <w:szCs w:val="22"/>
        </w:rPr>
      </w:pPr>
    </w:p>
    <w:p w:rsidR="005F65AC" w:rsidRPr="005F65AC" w:rsidRDefault="005F65AC" w:rsidP="005F65AC">
      <w:pPr>
        <w:pStyle w:val="BodyText2"/>
        <w:spacing w:before="0" w:after="0" w:line="360" w:lineRule="auto"/>
        <w:ind w:left="5040" w:firstLine="720"/>
        <w:jc w:val="both"/>
        <w:rPr>
          <w:rFonts w:cs="Arial"/>
          <w:b/>
          <w:sz w:val="22"/>
          <w:szCs w:val="22"/>
        </w:rPr>
      </w:pPr>
      <w:r w:rsidRPr="005F65AC">
        <w:rPr>
          <w:rFonts w:cs="Arial"/>
          <w:b/>
          <w:sz w:val="22"/>
          <w:szCs w:val="22"/>
        </w:rPr>
        <w:t xml:space="preserve">By the Applicant </w:t>
      </w:r>
    </w:p>
    <w:p w:rsidR="005F65AC" w:rsidRPr="005F65AC" w:rsidRDefault="005F65AC" w:rsidP="005F65AC">
      <w:pPr>
        <w:pStyle w:val="BodyText2"/>
        <w:spacing w:line="360" w:lineRule="auto"/>
        <w:jc w:val="both"/>
        <w:rPr>
          <w:rFonts w:cs="Arial"/>
          <w:b/>
          <w:sz w:val="22"/>
          <w:szCs w:val="22"/>
        </w:rPr>
      </w:pPr>
      <w:r w:rsidRPr="005F65AC">
        <w:rPr>
          <w:rFonts w:cs="Arial"/>
          <w:b/>
          <w:sz w:val="22"/>
          <w:szCs w:val="22"/>
        </w:rPr>
        <w:tab/>
      </w:r>
      <w:r w:rsidRPr="005F65AC">
        <w:rPr>
          <w:rFonts w:cs="Arial"/>
          <w:b/>
          <w:sz w:val="22"/>
          <w:szCs w:val="22"/>
        </w:rPr>
        <w:tab/>
      </w:r>
      <w:r w:rsidRPr="005F65AC">
        <w:rPr>
          <w:rFonts w:cs="Arial"/>
          <w:b/>
          <w:sz w:val="22"/>
          <w:szCs w:val="22"/>
        </w:rPr>
        <w:tab/>
      </w:r>
      <w:r w:rsidRPr="005F65AC">
        <w:rPr>
          <w:rFonts w:cs="Arial"/>
          <w:b/>
          <w:sz w:val="22"/>
          <w:szCs w:val="22"/>
        </w:rPr>
        <w:tab/>
      </w:r>
      <w:r w:rsidRPr="005F65AC">
        <w:rPr>
          <w:rFonts w:cs="Arial"/>
          <w:b/>
          <w:sz w:val="22"/>
          <w:szCs w:val="22"/>
        </w:rPr>
        <w:tab/>
      </w:r>
      <w:r w:rsidRPr="005F65AC">
        <w:rPr>
          <w:rFonts w:cs="Arial"/>
          <w:b/>
          <w:sz w:val="22"/>
          <w:szCs w:val="22"/>
        </w:rPr>
        <w:tab/>
      </w:r>
      <w:r w:rsidRPr="005F65AC">
        <w:rPr>
          <w:rFonts w:cs="Arial"/>
          <w:b/>
          <w:sz w:val="22"/>
          <w:szCs w:val="22"/>
        </w:rPr>
        <w:tab/>
        <w:t xml:space="preserve"> Through its Managing Director.</w:t>
      </w:r>
    </w:p>
    <w:p w:rsidR="00E23F3E" w:rsidRDefault="005F65AC" w:rsidP="00112C8E">
      <w:pPr>
        <w:pStyle w:val="BodyText2"/>
        <w:spacing w:line="360" w:lineRule="auto"/>
        <w:ind w:firstLine="720"/>
        <w:jc w:val="both"/>
        <w:rPr>
          <w:rFonts w:cs="Arial"/>
          <w:sz w:val="22"/>
          <w:szCs w:val="22"/>
        </w:rPr>
      </w:pPr>
      <w:r w:rsidRPr="005F65AC">
        <w:rPr>
          <w:rFonts w:cs="Arial"/>
          <w:sz w:val="22"/>
          <w:szCs w:val="22"/>
        </w:rPr>
        <w:t xml:space="preserve">Dated:  </w:t>
      </w:r>
      <w:r w:rsidR="00E23F3E">
        <w:rPr>
          <w:rFonts w:cs="Arial"/>
          <w:sz w:val="22"/>
          <w:szCs w:val="22"/>
        </w:rPr>
        <w:t>29</w:t>
      </w:r>
      <w:r w:rsidR="00E23F3E" w:rsidRPr="00E23F3E">
        <w:rPr>
          <w:rFonts w:cs="Arial"/>
          <w:sz w:val="22"/>
          <w:szCs w:val="22"/>
          <w:vertAlign w:val="superscript"/>
        </w:rPr>
        <w:t>th</w:t>
      </w:r>
      <w:r w:rsidR="00E23F3E">
        <w:rPr>
          <w:rFonts w:cs="Arial"/>
          <w:sz w:val="22"/>
          <w:szCs w:val="22"/>
        </w:rPr>
        <w:t xml:space="preserve"> November 2014</w:t>
      </w:r>
    </w:p>
    <w:p w:rsidR="00E23F3E" w:rsidRPr="00E23F3E" w:rsidRDefault="00E23F3E" w:rsidP="00112C8E">
      <w:pPr>
        <w:pStyle w:val="BodyText2"/>
        <w:spacing w:line="360" w:lineRule="auto"/>
        <w:ind w:firstLine="720"/>
        <w:jc w:val="both"/>
        <w:rPr>
          <w:rFonts w:cs="Arial"/>
          <w:sz w:val="22"/>
        </w:rPr>
      </w:pPr>
      <w:r w:rsidRPr="00E23F3E">
        <w:rPr>
          <w:rFonts w:cs="Arial"/>
          <w:sz w:val="22"/>
        </w:rPr>
        <w:t>Bhubaneswar</w:t>
      </w:r>
    </w:p>
    <w:sectPr w:rsidR="00E23F3E" w:rsidRPr="00E23F3E" w:rsidSect="00F84BD8">
      <w:headerReference w:type="default" r:id="rId10"/>
      <w:footerReference w:type="default" r:id="rId11"/>
      <w:pgSz w:w="11909" w:h="16834" w:code="9"/>
      <w:pgMar w:top="1440" w:right="1080" w:bottom="1440" w:left="16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01EC" w:rsidRDefault="00E601EC">
      <w:r>
        <w:separator/>
      </w:r>
    </w:p>
  </w:endnote>
  <w:endnote w:type="continuationSeparator" w:id="1">
    <w:p w:rsidR="00E601EC" w:rsidRDefault="00E601E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FKACP+TimesNew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0751"/>
      <w:docPartObj>
        <w:docPartGallery w:val="Page Numbers (Bottom of Page)"/>
        <w:docPartUnique/>
      </w:docPartObj>
    </w:sdtPr>
    <w:sdtContent>
      <w:p w:rsidR="00A50F3E" w:rsidRDefault="00A50F3E">
        <w:pPr>
          <w:pStyle w:val="Footer"/>
          <w:jc w:val="center"/>
        </w:pPr>
        <w:fldSimple w:instr=" PAGE   \* MERGEFORMAT ">
          <w:r w:rsidR="002F21B9">
            <w:rPr>
              <w:noProof/>
            </w:rPr>
            <w:t>5</w:t>
          </w:r>
        </w:fldSimple>
      </w:p>
    </w:sdtContent>
  </w:sdt>
  <w:p w:rsidR="00A50F3E" w:rsidRDefault="00A50F3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F3E" w:rsidRDefault="00A50F3E">
    <w:pPr>
      <w:pStyle w:val="Footer"/>
    </w:pPr>
    <w:r>
      <w:tab/>
    </w:r>
    <w:r>
      <w:rPr>
        <w:rStyle w:val="PageNumber"/>
      </w:rPr>
      <w:fldChar w:fldCharType="begin"/>
    </w:r>
    <w:r>
      <w:rPr>
        <w:rStyle w:val="PageNumber"/>
      </w:rPr>
      <w:instrText xml:space="preserve"> PAGE </w:instrText>
    </w:r>
    <w:r>
      <w:rPr>
        <w:rStyle w:val="PageNumber"/>
      </w:rPr>
      <w:fldChar w:fldCharType="separate"/>
    </w:r>
    <w:r w:rsidR="002F21B9">
      <w:rPr>
        <w:rStyle w:val="PageNumber"/>
        <w:noProof/>
      </w:rPr>
      <w:t>90</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01EC" w:rsidRDefault="00E601EC">
      <w:r>
        <w:separator/>
      </w:r>
    </w:p>
  </w:footnote>
  <w:footnote w:type="continuationSeparator" w:id="1">
    <w:p w:rsidR="00E601EC" w:rsidRDefault="00E601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F3E" w:rsidRPr="00DA7624" w:rsidRDefault="00A50F3E" w:rsidP="00DA7624">
    <w:pPr>
      <w:pStyle w:val="Header"/>
      <w:jc w:val="center"/>
      <w:rPr>
        <w:sz w:val="20"/>
      </w:rPr>
    </w:pPr>
    <w:r w:rsidRPr="00DA7624">
      <w:rPr>
        <w:sz w:val="20"/>
      </w:rPr>
      <w:t>North Eastern Electricity Supply Company of Odisha Limited –FY 2015-16</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F3E" w:rsidRPr="00DA7624" w:rsidRDefault="00A50F3E" w:rsidP="00064BB6">
    <w:pPr>
      <w:pStyle w:val="Header"/>
      <w:jc w:val="center"/>
      <w:rPr>
        <w:sz w:val="20"/>
      </w:rPr>
    </w:pPr>
    <w:r w:rsidRPr="00DA7624">
      <w:rPr>
        <w:sz w:val="20"/>
      </w:rPr>
      <w:t>North Eastern Electricity Supply Company of Odisha Limited –FY 2015-16</w:t>
    </w:r>
  </w:p>
  <w:p w:rsidR="00A50F3E" w:rsidRPr="00064BB6" w:rsidRDefault="00A50F3E" w:rsidP="00064BB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D4A9EDA"/>
    <w:lvl w:ilvl="0">
      <w:numFmt w:val="bullet"/>
      <w:lvlText w:val="*"/>
      <w:lvlJc w:val="left"/>
    </w:lvl>
  </w:abstractNum>
  <w:abstractNum w:abstractNumId="1">
    <w:nsid w:val="023267BC"/>
    <w:multiLevelType w:val="hybridMultilevel"/>
    <w:tmpl w:val="8CE4A548"/>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3D8298E"/>
    <w:multiLevelType w:val="hybridMultilevel"/>
    <w:tmpl w:val="FD3A4856"/>
    <w:lvl w:ilvl="0" w:tplc="873CB280">
      <w:start w:val="1"/>
      <w:numFmt w:val="lowerRoman"/>
      <w:lvlText w:val="(%1)"/>
      <w:lvlJc w:val="left"/>
      <w:pPr>
        <w:ind w:left="720" w:hanging="360"/>
      </w:pPr>
      <w:rPr>
        <w:rFonts w:hint="default"/>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6F550B"/>
    <w:multiLevelType w:val="multilevel"/>
    <w:tmpl w:val="FA38BB24"/>
    <w:lvl w:ilvl="0">
      <w:start w:val="1"/>
      <w:numFmt w:val="decimal"/>
      <w:lvlText w:val="%1."/>
      <w:lvlJc w:val="left"/>
      <w:pPr>
        <w:tabs>
          <w:tab w:val="num" w:pos="720"/>
        </w:tabs>
        <w:ind w:left="72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upperLetter"/>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nsid w:val="05651DE2"/>
    <w:multiLevelType w:val="hybridMultilevel"/>
    <w:tmpl w:val="26E6B8C4"/>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09C62A25"/>
    <w:multiLevelType w:val="hybridMultilevel"/>
    <w:tmpl w:val="235E4648"/>
    <w:lvl w:ilvl="0" w:tplc="04090005">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
    <w:nsid w:val="0A7C6DBC"/>
    <w:multiLevelType w:val="hybridMultilevel"/>
    <w:tmpl w:val="9EEC67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1946F1"/>
    <w:multiLevelType w:val="hybridMultilevel"/>
    <w:tmpl w:val="6E169D1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5F63D5"/>
    <w:multiLevelType w:val="hybridMultilevel"/>
    <w:tmpl w:val="42180B8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06D4600"/>
    <w:multiLevelType w:val="hybridMultilevel"/>
    <w:tmpl w:val="829C07E2"/>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547C3C"/>
    <w:multiLevelType w:val="hybridMultilevel"/>
    <w:tmpl w:val="13587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6C0A28"/>
    <w:multiLevelType w:val="multilevel"/>
    <w:tmpl w:val="081216FE"/>
    <w:lvl w:ilvl="0">
      <w:start w:val="1"/>
      <w:numFmt w:val="lowerRoman"/>
      <w:lvlText w:val="%1."/>
      <w:lvlJc w:val="right"/>
      <w:pPr>
        <w:tabs>
          <w:tab w:val="num" w:pos="796"/>
        </w:tabs>
        <w:ind w:left="796" w:hanging="360"/>
      </w:pPr>
    </w:lvl>
    <w:lvl w:ilvl="1">
      <w:start w:val="1"/>
      <w:numFmt w:val="decimal"/>
      <w:lvlText w:val="%2."/>
      <w:lvlJc w:val="left"/>
      <w:pPr>
        <w:tabs>
          <w:tab w:val="num" w:pos="1516"/>
        </w:tabs>
        <w:ind w:left="1516" w:hanging="360"/>
      </w:pPr>
    </w:lvl>
    <w:lvl w:ilvl="2" w:tentative="1">
      <w:start w:val="1"/>
      <w:numFmt w:val="decimal"/>
      <w:lvlText w:val="%3."/>
      <w:lvlJc w:val="left"/>
      <w:pPr>
        <w:tabs>
          <w:tab w:val="num" w:pos="2236"/>
        </w:tabs>
        <w:ind w:left="2236" w:hanging="360"/>
      </w:pPr>
    </w:lvl>
    <w:lvl w:ilvl="3" w:tentative="1">
      <w:start w:val="1"/>
      <w:numFmt w:val="decimal"/>
      <w:lvlText w:val="%4."/>
      <w:lvlJc w:val="left"/>
      <w:pPr>
        <w:tabs>
          <w:tab w:val="num" w:pos="2956"/>
        </w:tabs>
        <w:ind w:left="2956" w:hanging="360"/>
      </w:pPr>
    </w:lvl>
    <w:lvl w:ilvl="4" w:tentative="1">
      <w:start w:val="1"/>
      <w:numFmt w:val="decimal"/>
      <w:lvlText w:val="%5."/>
      <w:lvlJc w:val="left"/>
      <w:pPr>
        <w:tabs>
          <w:tab w:val="num" w:pos="3676"/>
        </w:tabs>
        <w:ind w:left="3676" w:hanging="360"/>
      </w:pPr>
    </w:lvl>
    <w:lvl w:ilvl="5" w:tentative="1">
      <w:start w:val="1"/>
      <w:numFmt w:val="decimal"/>
      <w:lvlText w:val="%6."/>
      <w:lvlJc w:val="left"/>
      <w:pPr>
        <w:tabs>
          <w:tab w:val="num" w:pos="4396"/>
        </w:tabs>
        <w:ind w:left="4396" w:hanging="360"/>
      </w:pPr>
    </w:lvl>
    <w:lvl w:ilvl="6" w:tentative="1">
      <w:start w:val="1"/>
      <w:numFmt w:val="decimal"/>
      <w:lvlText w:val="%7."/>
      <w:lvlJc w:val="left"/>
      <w:pPr>
        <w:tabs>
          <w:tab w:val="num" w:pos="5116"/>
        </w:tabs>
        <w:ind w:left="5116" w:hanging="360"/>
      </w:pPr>
    </w:lvl>
    <w:lvl w:ilvl="7" w:tentative="1">
      <w:start w:val="1"/>
      <w:numFmt w:val="decimal"/>
      <w:lvlText w:val="%8."/>
      <w:lvlJc w:val="left"/>
      <w:pPr>
        <w:tabs>
          <w:tab w:val="num" w:pos="5836"/>
        </w:tabs>
        <w:ind w:left="5836" w:hanging="360"/>
      </w:pPr>
    </w:lvl>
    <w:lvl w:ilvl="8" w:tentative="1">
      <w:start w:val="1"/>
      <w:numFmt w:val="decimal"/>
      <w:lvlText w:val="%9."/>
      <w:lvlJc w:val="left"/>
      <w:pPr>
        <w:tabs>
          <w:tab w:val="num" w:pos="6556"/>
        </w:tabs>
        <w:ind w:left="6556" w:hanging="360"/>
      </w:pPr>
    </w:lvl>
  </w:abstractNum>
  <w:abstractNum w:abstractNumId="12">
    <w:nsid w:val="1C3B4A51"/>
    <w:multiLevelType w:val="hybridMultilevel"/>
    <w:tmpl w:val="976CA27C"/>
    <w:lvl w:ilvl="0" w:tplc="0F6C22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E4E57E5"/>
    <w:multiLevelType w:val="multilevel"/>
    <w:tmpl w:val="80747CE8"/>
    <w:lvl w:ilvl="0">
      <w:start w:val="5"/>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nsid w:val="1E8519B0"/>
    <w:multiLevelType w:val="hybridMultilevel"/>
    <w:tmpl w:val="1816678C"/>
    <w:lvl w:ilvl="0" w:tplc="CBB435D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1FA24517"/>
    <w:multiLevelType w:val="hybridMultilevel"/>
    <w:tmpl w:val="438CE08E"/>
    <w:lvl w:ilvl="0" w:tplc="F6F4780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21BE1FA6"/>
    <w:multiLevelType w:val="hybridMultilevel"/>
    <w:tmpl w:val="341EB792"/>
    <w:lvl w:ilvl="0" w:tplc="04090009">
      <w:start w:val="1"/>
      <w:numFmt w:val="bullet"/>
      <w:lvlText w:val=""/>
      <w:lvlJc w:val="left"/>
      <w:pPr>
        <w:tabs>
          <w:tab w:val="num" w:pos="1080"/>
        </w:tabs>
        <w:ind w:left="1080" w:hanging="360"/>
      </w:pPr>
      <w:rPr>
        <w:rFonts w:ascii="Wingdings" w:hAnsi="Wingdings" w:hint="default"/>
        <w:sz w:val="16"/>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21DA5FEF"/>
    <w:multiLevelType w:val="hybridMultilevel"/>
    <w:tmpl w:val="4D6A5F92"/>
    <w:lvl w:ilvl="0" w:tplc="04090005">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8">
    <w:nsid w:val="22666108"/>
    <w:multiLevelType w:val="hybridMultilevel"/>
    <w:tmpl w:val="9AB8EAFA"/>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9">
    <w:nsid w:val="228A3835"/>
    <w:multiLevelType w:val="hybridMultilevel"/>
    <w:tmpl w:val="0E54E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50C0824"/>
    <w:multiLevelType w:val="multilevel"/>
    <w:tmpl w:val="7BB2EDF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88E7FC8"/>
    <w:multiLevelType w:val="hybridMultilevel"/>
    <w:tmpl w:val="BB0AF594"/>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nsid w:val="2C865C2E"/>
    <w:multiLevelType w:val="hybridMultilevel"/>
    <w:tmpl w:val="3E7EF636"/>
    <w:lvl w:ilvl="0" w:tplc="04090005">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3">
    <w:nsid w:val="30F96CB9"/>
    <w:multiLevelType w:val="hybridMultilevel"/>
    <w:tmpl w:val="8C8C5778"/>
    <w:lvl w:ilvl="0" w:tplc="04090005">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4">
    <w:nsid w:val="3228732D"/>
    <w:multiLevelType w:val="multilevel"/>
    <w:tmpl w:val="3C80481C"/>
    <w:lvl w:ilvl="0">
      <w:start w:val="4"/>
      <w:numFmt w:val="decimal"/>
      <w:lvlText w:val="%1."/>
      <w:lvlJc w:val="left"/>
      <w:pPr>
        <w:ind w:left="420" w:hanging="420"/>
      </w:pPr>
      <w:rPr>
        <w:rFonts w:hint="default"/>
      </w:rPr>
    </w:lvl>
    <w:lvl w:ilvl="1">
      <w:start w:val="3"/>
      <w:numFmt w:val="decimal"/>
      <w:lvlText w:val="%1.%2."/>
      <w:lvlJc w:val="left"/>
      <w:pPr>
        <w:ind w:left="2880" w:hanging="7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440" w:hanging="2160"/>
      </w:pPr>
      <w:rPr>
        <w:rFonts w:hint="default"/>
      </w:rPr>
    </w:lvl>
  </w:abstractNum>
  <w:abstractNum w:abstractNumId="25">
    <w:nsid w:val="32825D2A"/>
    <w:multiLevelType w:val="hybridMultilevel"/>
    <w:tmpl w:val="C6567DCE"/>
    <w:lvl w:ilvl="0" w:tplc="04090005">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6">
    <w:nsid w:val="344F77B1"/>
    <w:multiLevelType w:val="hybridMultilevel"/>
    <w:tmpl w:val="00DC3A8C"/>
    <w:lvl w:ilvl="0" w:tplc="D3A86028">
      <w:start w:val="1"/>
      <w:numFmt w:val="lowerRoman"/>
      <w:lvlText w:val="%1)"/>
      <w:lvlJc w:val="left"/>
      <w:pPr>
        <w:tabs>
          <w:tab w:val="num" w:pos="1440"/>
        </w:tabs>
        <w:ind w:left="1440" w:hanging="720"/>
      </w:pPr>
      <w:rPr>
        <w:rFonts w:hint="default"/>
      </w:rPr>
    </w:lvl>
    <w:lvl w:ilvl="1" w:tplc="86F02342">
      <w:start w:val="4"/>
      <w:numFmt w:val="decimal"/>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377D63BB"/>
    <w:multiLevelType w:val="hybridMultilevel"/>
    <w:tmpl w:val="B32C2FB4"/>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A1B5B67"/>
    <w:multiLevelType w:val="hybridMultilevel"/>
    <w:tmpl w:val="18C0BDD8"/>
    <w:lvl w:ilvl="0" w:tplc="FFFFFFFF">
      <w:start w:val="1"/>
      <w:numFmt w:val="lowerLetter"/>
      <w:lvlText w:val="%1."/>
      <w:lvlJc w:val="left"/>
      <w:pPr>
        <w:tabs>
          <w:tab w:val="num" w:pos="720"/>
        </w:tabs>
        <w:ind w:left="720" w:hanging="360"/>
      </w:pPr>
    </w:lvl>
    <w:lvl w:ilvl="1" w:tplc="F01AC3DC">
      <w:start w:val="1"/>
      <w:numFmt w:val="decimal"/>
      <w:lvlText w:val="%2."/>
      <w:lvlJc w:val="left"/>
      <w:pPr>
        <w:tabs>
          <w:tab w:val="num" w:pos="810"/>
        </w:tabs>
        <w:ind w:left="810" w:hanging="360"/>
      </w:pPr>
      <w:rPr>
        <w:rFonts w:hint="default"/>
      </w:rPr>
    </w:lvl>
    <w:lvl w:ilvl="2" w:tplc="8DBAB90C">
      <w:start w:val="1"/>
      <w:numFmt w:val="lowerLetter"/>
      <w:lvlText w:val="%3)"/>
      <w:lvlJc w:val="left"/>
      <w:pPr>
        <w:tabs>
          <w:tab w:val="num" w:pos="1620"/>
        </w:tabs>
        <w:ind w:left="1620" w:hanging="360"/>
      </w:pPr>
      <w:rPr>
        <w:rFonts w:cs="Arial" w:hint="default"/>
      </w:r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9">
    <w:nsid w:val="3F9F7E8C"/>
    <w:multiLevelType w:val="hybridMultilevel"/>
    <w:tmpl w:val="55ECA120"/>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415110DC"/>
    <w:multiLevelType w:val="hybridMultilevel"/>
    <w:tmpl w:val="D206D0D8"/>
    <w:lvl w:ilvl="0" w:tplc="04090005">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1">
    <w:nsid w:val="4454193E"/>
    <w:multiLevelType w:val="hybridMultilevel"/>
    <w:tmpl w:val="481EF942"/>
    <w:lvl w:ilvl="0" w:tplc="89E242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45AD36BF"/>
    <w:multiLevelType w:val="hybridMultilevel"/>
    <w:tmpl w:val="DA92BB8C"/>
    <w:lvl w:ilvl="0" w:tplc="04090019">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8DE3F74"/>
    <w:multiLevelType w:val="hybridMultilevel"/>
    <w:tmpl w:val="1AF8F43E"/>
    <w:lvl w:ilvl="0" w:tplc="04090005">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4">
    <w:nsid w:val="49225BE5"/>
    <w:multiLevelType w:val="hybridMultilevel"/>
    <w:tmpl w:val="9ABCB3F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4EE84F11"/>
    <w:multiLevelType w:val="hybridMultilevel"/>
    <w:tmpl w:val="70A28A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FE0088E"/>
    <w:multiLevelType w:val="hybridMultilevel"/>
    <w:tmpl w:val="B0E6061E"/>
    <w:lvl w:ilvl="0" w:tplc="04090005">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7">
    <w:nsid w:val="52A7277B"/>
    <w:multiLevelType w:val="hybridMultilevel"/>
    <w:tmpl w:val="B8147DE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8">
    <w:nsid w:val="53EB2042"/>
    <w:multiLevelType w:val="hybridMultilevel"/>
    <w:tmpl w:val="634821F4"/>
    <w:lvl w:ilvl="0" w:tplc="1AE41BC2">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9">
    <w:nsid w:val="55AF643F"/>
    <w:multiLevelType w:val="multilevel"/>
    <w:tmpl w:val="952433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sz w:val="22"/>
        <w:szCs w:val="22"/>
      </w:rPr>
    </w:lvl>
    <w:lvl w:ilvl="2">
      <w:start w:val="1"/>
      <w:numFmt w:val="decimal"/>
      <w:lvlText w:val="%1.%2.%3."/>
      <w:lvlJc w:val="left"/>
      <w:pPr>
        <w:tabs>
          <w:tab w:val="num" w:pos="1224"/>
        </w:tabs>
        <w:ind w:left="1224" w:hanging="504"/>
      </w:pPr>
      <w:rPr>
        <w:rFonts w:hint="default"/>
        <w:b/>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nsid w:val="56FE1375"/>
    <w:multiLevelType w:val="hybridMultilevel"/>
    <w:tmpl w:val="31563DFA"/>
    <w:lvl w:ilvl="0" w:tplc="04090005">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1">
    <w:nsid w:val="59EC03E1"/>
    <w:multiLevelType w:val="hybridMultilevel"/>
    <w:tmpl w:val="E2BA9E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nsid w:val="5BB56F53"/>
    <w:multiLevelType w:val="hybridMultilevel"/>
    <w:tmpl w:val="82A452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7A913BD"/>
    <w:multiLevelType w:val="hybridMultilevel"/>
    <w:tmpl w:val="E19EE908"/>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4">
    <w:nsid w:val="69DE264E"/>
    <w:multiLevelType w:val="multilevel"/>
    <w:tmpl w:val="3F04CDCA"/>
    <w:lvl w:ilvl="0">
      <w:start w:val="1"/>
      <w:numFmt w:val="decimal"/>
      <w:lvlText w:val="%1"/>
      <w:lvlJc w:val="left"/>
      <w:pPr>
        <w:tabs>
          <w:tab w:val="num" w:pos="360"/>
        </w:tabs>
        <w:ind w:left="360" w:hanging="360"/>
      </w:pPr>
      <w:rPr>
        <w:rFonts w:hint="default"/>
      </w:rPr>
    </w:lvl>
    <w:lvl w:ilvl="1">
      <w:start w:val="1"/>
      <w:numFmt w:val="lowerRoman"/>
      <w:lvlText w:val="%2."/>
      <w:lvlJc w:val="righ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6F3A56BE"/>
    <w:multiLevelType w:val="hybridMultilevel"/>
    <w:tmpl w:val="424CE848"/>
    <w:lvl w:ilvl="0" w:tplc="3E801C62">
      <w:start w:val="1"/>
      <w:numFmt w:val="lowerRoman"/>
      <w:lvlText w:val="%1."/>
      <w:lvlJc w:val="left"/>
      <w:pPr>
        <w:ind w:left="1440" w:hanging="720"/>
      </w:pPr>
      <w:rPr>
        <w:rFonts w:cs="Times New Roman"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0D85F68"/>
    <w:multiLevelType w:val="hybridMultilevel"/>
    <w:tmpl w:val="B02ADA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
    <w:nsid w:val="71267F11"/>
    <w:multiLevelType w:val="hybridMultilevel"/>
    <w:tmpl w:val="E472A2C6"/>
    <w:lvl w:ilvl="0" w:tplc="3B709C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73D50C95"/>
    <w:multiLevelType w:val="hybridMultilevel"/>
    <w:tmpl w:val="16BEE9F6"/>
    <w:lvl w:ilvl="0" w:tplc="EF10B9A8">
      <w:start w:val="1"/>
      <w:numFmt w:val="upperLetter"/>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49">
    <w:nsid w:val="74E0117B"/>
    <w:multiLevelType w:val="hybridMultilevel"/>
    <w:tmpl w:val="75E2F79C"/>
    <w:lvl w:ilvl="0" w:tplc="04090003">
      <w:start w:val="1"/>
      <w:numFmt w:val="bullet"/>
      <w:lvlText w:val="o"/>
      <w:lvlJc w:val="left"/>
      <w:pPr>
        <w:tabs>
          <w:tab w:val="num" w:pos="360"/>
        </w:tabs>
        <w:ind w:left="36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
    <w:nsid w:val="784E1903"/>
    <w:multiLevelType w:val="hybridMultilevel"/>
    <w:tmpl w:val="854AF2E2"/>
    <w:lvl w:ilvl="0" w:tplc="0409001B">
      <w:start w:val="1"/>
      <w:numFmt w:val="lowerRoman"/>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78CF5C99"/>
    <w:multiLevelType w:val="hybridMultilevel"/>
    <w:tmpl w:val="5CF6D436"/>
    <w:lvl w:ilvl="0" w:tplc="6DBA0F2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794652B4"/>
    <w:multiLevelType w:val="hybridMultilevel"/>
    <w:tmpl w:val="13E6B4B8"/>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3">
    <w:nsid w:val="7CFB7A7E"/>
    <w:multiLevelType w:val="hybridMultilevel"/>
    <w:tmpl w:val="8E3AC356"/>
    <w:lvl w:ilvl="0" w:tplc="94EEECAC">
      <w:start w:val="1"/>
      <w:numFmt w:val="lowerRoman"/>
      <w:lvlText w:val="%1."/>
      <w:lvlJc w:val="left"/>
      <w:pPr>
        <w:tabs>
          <w:tab w:val="num" w:pos="1740"/>
        </w:tabs>
        <w:ind w:left="1740" w:hanging="720"/>
      </w:pPr>
      <w:rPr>
        <w:rFonts w:hint="default"/>
      </w:rPr>
    </w:lvl>
    <w:lvl w:ilvl="1" w:tplc="65282E36">
      <w:start w:val="1"/>
      <w:numFmt w:val="lowerLetter"/>
      <w:lvlText w:val="%2."/>
      <w:lvlJc w:val="left"/>
      <w:pPr>
        <w:tabs>
          <w:tab w:val="num" w:pos="2100"/>
        </w:tabs>
        <w:ind w:left="2100" w:hanging="360"/>
      </w:pPr>
      <w:rPr>
        <w:rFonts w:hint="default"/>
        <w:sz w:val="20"/>
      </w:r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54">
    <w:nsid w:val="7F3D2C13"/>
    <w:multiLevelType w:val="hybridMultilevel"/>
    <w:tmpl w:val="13005226"/>
    <w:lvl w:ilvl="0" w:tplc="9DB0168A">
      <w:start w:val="1"/>
      <w:numFmt w:val="lowerRoman"/>
      <w:lvlText w:val="%1)"/>
      <w:lvlJc w:val="left"/>
      <w:pPr>
        <w:ind w:left="1080" w:hanging="720"/>
      </w:pPr>
      <w:rPr>
        <w:rFonts w:hint="default"/>
        <w:b w:val="0"/>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9"/>
  </w:num>
  <w:num w:numId="2">
    <w:abstractNumId w:val="44"/>
  </w:num>
  <w:num w:numId="3">
    <w:abstractNumId w:val="16"/>
  </w:num>
  <w:num w:numId="4">
    <w:abstractNumId w:val="1"/>
  </w:num>
  <w:num w:numId="5">
    <w:abstractNumId w:val="49"/>
  </w:num>
  <w:num w:numId="6">
    <w:abstractNumId w:val="43"/>
  </w:num>
  <w:num w:numId="7">
    <w:abstractNumId w:val="26"/>
  </w:num>
  <w:num w:numId="8">
    <w:abstractNumId w:val="32"/>
  </w:num>
  <w:num w:numId="9">
    <w:abstractNumId w:val="53"/>
  </w:num>
  <w:num w:numId="10">
    <w:abstractNumId w:val="48"/>
  </w:num>
  <w:num w:numId="11">
    <w:abstractNumId w:val="0"/>
    <w:lvlOverride w:ilvl="0">
      <w:lvl w:ilvl="0">
        <w:numFmt w:val="bullet"/>
        <w:lvlText w:val=""/>
        <w:legacy w:legacy="1" w:legacySpace="0" w:legacyIndent="360"/>
        <w:lvlJc w:val="left"/>
        <w:rPr>
          <w:rFonts w:ascii="Symbol" w:hAnsi="Symbol" w:hint="default"/>
        </w:rPr>
      </w:lvl>
    </w:lvlOverride>
  </w:num>
  <w:num w:numId="12">
    <w:abstractNumId w:val="4"/>
  </w:num>
  <w:num w:numId="13">
    <w:abstractNumId w:val="2"/>
  </w:num>
  <w:num w:numId="14">
    <w:abstractNumId w:val="8"/>
  </w:num>
  <w:num w:numId="15">
    <w:abstractNumId w:val="50"/>
  </w:num>
  <w:num w:numId="16">
    <w:abstractNumId w:val="7"/>
  </w:num>
  <w:num w:numId="17">
    <w:abstractNumId w:val="11"/>
  </w:num>
  <w:num w:numId="18">
    <w:abstractNumId w:val="3"/>
  </w:num>
  <w:num w:numId="19">
    <w:abstractNumId w:val="15"/>
  </w:num>
  <w:num w:numId="20">
    <w:abstractNumId w:val="33"/>
  </w:num>
  <w:num w:numId="21">
    <w:abstractNumId w:val="30"/>
  </w:num>
  <w:num w:numId="22">
    <w:abstractNumId w:val="17"/>
  </w:num>
  <w:num w:numId="23">
    <w:abstractNumId w:val="5"/>
  </w:num>
  <w:num w:numId="24">
    <w:abstractNumId w:val="23"/>
  </w:num>
  <w:num w:numId="25">
    <w:abstractNumId w:val="36"/>
  </w:num>
  <w:num w:numId="26">
    <w:abstractNumId w:val="25"/>
  </w:num>
  <w:num w:numId="27">
    <w:abstractNumId w:val="22"/>
  </w:num>
  <w:num w:numId="28">
    <w:abstractNumId w:val="40"/>
  </w:num>
  <w:num w:numId="29">
    <w:abstractNumId w:val="45"/>
  </w:num>
  <w:num w:numId="30">
    <w:abstractNumId w:val="42"/>
  </w:num>
  <w:num w:numId="31">
    <w:abstractNumId w:val="28"/>
  </w:num>
  <w:num w:numId="32">
    <w:abstractNumId w:val="10"/>
  </w:num>
  <w:num w:numId="33">
    <w:abstractNumId w:val="21"/>
  </w:num>
  <w:num w:numId="34">
    <w:abstractNumId w:val="54"/>
  </w:num>
  <w:num w:numId="35">
    <w:abstractNumId w:val="14"/>
  </w:num>
  <w:num w:numId="36">
    <w:abstractNumId w:val="41"/>
  </w:num>
  <w:num w:numId="37">
    <w:abstractNumId w:val="46"/>
  </w:num>
  <w:num w:numId="38">
    <w:abstractNumId w:val="38"/>
  </w:num>
  <w:num w:numId="39">
    <w:abstractNumId w:val="34"/>
  </w:num>
  <w:num w:numId="40">
    <w:abstractNumId w:val="6"/>
  </w:num>
  <w:num w:numId="41">
    <w:abstractNumId w:val="29"/>
  </w:num>
  <w:num w:numId="42">
    <w:abstractNumId w:val="31"/>
  </w:num>
  <w:num w:numId="43">
    <w:abstractNumId w:val="51"/>
  </w:num>
  <w:num w:numId="44">
    <w:abstractNumId w:val="19"/>
  </w:num>
  <w:num w:numId="45">
    <w:abstractNumId w:val="27"/>
  </w:num>
  <w:num w:numId="46">
    <w:abstractNumId w:val="9"/>
  </w:num>
  <w:num w:numId="47">
    <w:abstractNumId w:val="35"/>
  </w:num>
  <w:num w:numId="48">
    <w:abstractNumId w:val="24"/>
  </w:num>
  <w:num w:numId="49">
    <w:abstractNumId w:val="20"/>
  </w:num>
  <w:num w:numId="50">
    <w:abstractNumId w:val="47"/>
  </w:num>
  <w:num w:numId="51">
    <w:abstractNumId w:val="12"/>
  </w:num>
  <w:num w:numId="52">
    <w:abstractNumId w:val="37"/>
  </w:num>
  <w:num w:numId="53">
    <w:abstractNumId w:val="52"/>
  </w:num>
  <w:num w:numId="54">
    <w:abstractNumId w:val="13"/>
  </w:num>
  <w:num w:numId="55">
    <w:abstractNumId w:val="18"/>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20"/>
  <w:noPunctuationKerning/>
  <w:characterSpacingControl w:val="doNotCompress"/>
  <w:footnotePr>
    <w:footnote w:id="0"/>
    <w:footnote w:id="1"/>
  </w:footnotePr>
  <w:endnotePr>
    <w:endnote w:id="0"/>
    <w:endnote w:id="1"/>
  </w:endnotePr>
  <w:compat/>
  <w:rsids>
    <w:rsidRoot w:val="004D4C04"/>
    <w:rsid w:val="000017C3"/>
    <w:rsid w:val="00002763"/>
    <w:rsid w:val="00002911"/>
    <w:rsid w:val="00003081"/>
    <w:rsid w:val="00003419"/>
    <w:rsid w:val="00003797"/>
    <w:rsid w:val="00003EC5"/>
    <w:rsid w:val="00005A2B"/>
    <w:rsid w:val="00006006"/>
    <w:rsid w:val="00007F0A"/>
    <w:rsid w:val="000102DB"/>
    <w:rsid w:val="00010711"/>
    <w:rsid w:val="000115A5"/>
    <w:rsid w:val="000129C4"/>
    <w:rsid w:val="00022377"/>
    <w:rsid w:val="0002252F"/>
    <w:rsid w:val="000225DE"/>
    <w:rsid w:val="000227D6"/>
    <w:rsid w:val="00023703"/>
    <w:rsid w:val="000245C1"/>
    <w:rsid w:val="000248D2"/>
    <w:rsid w:val="00027BE1"/>
    <w:rsid w:val="00027C67"/>
    <w:rsid w:val="00027C95"/>
    <w:rsid w:val="000312E2"/>
    <w:rsid w:val="00033236"/>
    <w:rsid w:val="000334F1"/>
    <w:rsid w:val="00034C6A"/>
    <w:rsid w:val="00037E2F"/>
    <w:rsid w:val="0004034E"/>
    <w:rsid w:val="00041054"/>
    <w:rsid w:val="00042124"/>
    <w:rsid w:val="00043D77"/>
    <w:rsid w:val="000474A2"/>
    <w:rsid w:val="00047F77"/>
    <w:rsid w:val="00051389"/>
    <w:rsid w:val="00051CA1"/>
    <w:rsid w:val="00052D1B"/>
    <w:rsid w:val="000533BA"/>
    <w:rsid w:val="0005349D"/>
    <w:rsid w:val="00053658"/>
    <w:rsid w:val="00054420"/>
    <w:rsid w:val="000551FD"/>
    <w:rsid w:val="00055C5F"/>
    <w:rsid w:val="00056F54"/>
    <w:rsid w:val="000636C2"/>
    <w:rsid w:val="00063DA4"/>
    <w:rsid w:val="0006486E"/>
    <w:rsid w:val="00064BB6"/>
    <w:rsid w:val="00066311"/>
    <w:rsid w:val="00066348"/>
    <w:rsid w:val="000677CC"/>
    <w:rsid w:val="00067D49"/>
    <w:rsid w:val="0007246A"/>
    <w:rsid w:val="00072B11"/>
    <w:rsid w:val="00075E4F"/>
    <w:rsid w:val="00075F40"/>
    <w:rsid w:val="00076FB1"/>
    <w:rsid w:val="000774F7"/>
    <w:rsid w:val="0008021D"/>
    <w:rsid w:val="00080240"/>
    <w:rsid w:val="0008124C"/>
    <w:rsid w:val="00081359"/>
    <w:rsid w:val="00083499"/>
    <w:rsid w:val="00083C89"/>
    <w:rsid w:val="00085757"/>
    <w:rsid w:val="0008775C"/>
    <w:rsid w:val="00087948"/>
    <w:rsid w:val="000879F0"/>
    <w:rsid w:val="000929C1"/>
    <w:rsid w:val="00093681"/>
    <w:rsid w:val="00094678"/>
    <w:rsid w:val="0009486F"/>
    <w:rsid w:val="000948C5"/>
    <w:rsid w:val="00096AB4"/>
    <w:rsid w:val="00096C7C"/>
    <w:rsid w:val="00097805"/>
    <w:rsid w:val="000A0D29"/>
    <w:rsid w:val="000A2671"/>
    <w:rsid w:val="000A4031"/>
    <w:rsid w:val="000A4A0E"/>
    <w:rsid w:val="000A4A31"/>
    <w:rsid w:val="000A606C"/>
    <w:rsid w:val="000A6150"/>
    <w:rsid w:val="000A6635"/>
    <w:rsid w:val="000A6D1A"/>
    <w:rsid w:val="000B03A4"/>
    <w:rsid w:val="000B09F1"/>
    <w:rsid w:val="000B0A9F"/>
    <w:rsid w:val="000B15EC"/>
    <w:rsid w:val="000B3FE0"/>
    <w:rsid w:val="000B48FC"/>
    <w:rsid w:val="000B562D"/>
    <w:rsid w:val="000B6CAC"/>
    <w:rsid w:val="000B6E99"/>
    <w:rsid w:val="000B7BB6"/>
    <w:rsid w:val="000C01C8"/>
    <w:rsid w:val="000C1A57"/>
    <w:rsid w:val="000C2942"/>
    <w:rsid w:val="000C4724"/>
    <w:rsid w:val="000C4B6B"/>
    <w:rsid w:val="000C52C7"/>
    <w:rsid w:val="000C53A5"/>
    <w:rsid w:val="000C67DC"/>
    <w:rsid w:val="000C699F"/>
    <w:rsid w:val="000C7050"/>
    <w:rsid w:val="000C7A35"/>
    <w:rsid w:val="000C7F7A"/>
    <w:rsid w:val="000D013D"/>
    <w:rsid w:val="000D4D4C"/>
    <w:rsid w:val="000D5A3F"/>
    <w:rsid w:val="000E0984"/>
    <w:rsid w:val="000E14EE"/>
    <w:rsid w:val="000E1615"/>
    <w:rsid w:val="000E1AEC"/>
    <w:rsid w:val="000E4222"/>
    <w:rsid w:val="000E49D8"/>
    <w:rsid w:val="000E4BAF"/>
    <w:rsid w:val="000E4E49"/>
    <w:rsid w:val="000E6E93"/>
    <w:rsid w:val="000F0CB6"/>
    <w:rsid w:val="000F1ED2"/>
    <w:rsid w:val="000F2575"/>
    <w:rsid w:val="000F2B9B"/>
    <w:rsid w:val="000F3A26"/>
    <w:rsid w:val="000F3F43"/>
    <w:rsid w:val="000F4840"/>
    <w:rsid w:val="000F5FEB"/>
    <w:rsid w:val="000F6963"/>
    <w:rsid w:val="000F7E8E"/>
    <w:rsid w:val="00100AA6"/>
    <w:rsid w:val="00100ACE"/>
    <w:rsid w:val="00101082"/>
    <w:rsid w:val="0010237C"/>
    <w:rsid w:val="00102DC7"/>
    <w:rsid w:val="001068B7"/>
    <w:rsid w:val="00107929"/>
    <w:rsid w:val="00107E7D"/>
    <w:rsid w:val="0011171F"/>
    <w:rsid w:val="00112C8E"/>
    <w:rsid w:val="001135E4"/>
    <w:rsid w:val="00113D4D"/>
    <w:rsid w:val="00115058"/>
    <w:rsid w:val="00115086"/>
    <w:rsid w:val="001160CA"/>
    <w:rsid w:val="00116AF0"/>
    <w:rsid w:val="0012078F"/>
    <w:rsid w:val="001210D3"/>
    <w:rsid w:val="001213C8"/>
    <w:rsid w:val="00122082"/>
    <w:rsid w:val="001221BC"/>
    <w:rsid w:val="00123021"/>
    <w:rsid w:val="00125DAC"/>
    <w:rsid w:val="00127BA7"/>
    <w:rsid w:val="00131CCB"/>
    <w:rsid w:val="00132E55"/>
    <w:rsid w:val="0013418D"/>
    <w:rsid w:val="00134ECC"/>
    <w:rsid w:val="0013519B"/>
    <w:rsid w:val="00136880"/>
    <w:rsid w:val="00140385"/>
    <w:rsid w:val="001408F4"/>
    <w:rsid w:val="00143CE1"/>
    <w:rsid w:val="0014404B"/>
    <w:rsid w:val="001442D6"/>
    <w:rsid w:val="001453F6"/>
    <w:rsid w:val="001456A8"/>
    <w:rsid w:val="0014591E"/>
    <w:rsid w:val="00145BF0"/>
    <w:rsid w:val="00146481"/>
    <w:rsid w:val="00146BFB"/>
    <w:rsid w:val="00147403"/>
    <w:rsid w:val="001478FC"/>
    <w:rsid w:val="00147B9B"/>
    <w:rsid w:val="00151BCC"/>
    <w:rsid w:val="00151FBF"/>
    <w:rsid w:val="00155359"/>
    <w:rsid w:val="00155571"/>
    <w:rsid w:val="00157564"/>
    <w:rsid w:val="00157C67"/>
    <w:rsid w:val="0016216A"/>
    <w:rsid w:val="00163084"/>
    <w:rsid w:val="00164093"/>
    <w:rsid w:val="001647C8"/>
    <w:rsid w:val="0016702A"/>
    <w:rsid w:val="0016757C"/>
    <w:rsid w:val="00170142"/>
    <w:rsid w:val="0017170A"/>
    <w:rsid w:val="0017393E"/>
    <w:rsid w:val="001760C9"/>
    <w:rsid w:val="00176F51"/>
    <w:rsid w:val="00176FAD"/>
    <w:rsid w:val="00177D53"/>
    <w:rsid w:val="001806A4"/>
    <w:rsid w:val="00180A4F"/>
    <w:rsid w:val="00182308"/>
    <w:rsid w:val="00183CB7"/>
    <w:rsid w:val="00184A4F"/>
    <w:rsid w:val="00187407"/>
    <w:rsid w:val="001916EE"/>
    <w:rsid w:val="00192CEA"/>
    <w:rsid w:val="00192E14"/>
    <w:rsid w:val="0019401A"/>
    <w:rsid w:val="00194205"/>
    <w:rsid w:val="00194762"/>
    <w:rsid w:val="00194FFA"/>
    <w:rsid w:val="00197252"/>
    <w:rsid w:val="00197CC1"/>
    <w:rsid w:val="00197F45"/>
    <w:rsid w:val="001A0405"/>
    <w:rsid w:val="001A110F"/>
    <w:rsid w:val="001A2B63"/>
    <w:rsid w:val="001A3D2D"/>
    <w:rsid w:val="001A4D0A"/>
    <w:rsid w:val="001A6DDF"/>
    <w:rsid w:val="001A786D"/>
    <w:rsid w:val="001B0493"/>
    <w:rsid w:val="001B2C8D"/>
    <w:rsid w:val="001B4C60"/>
    <w:rsid w:val="001B52D2"/>
    <w:rsid w:val="001B59F5"/>
    <w:rsid w:val="001C0F64"/>
    <w:rsid w:val="001C2E48"/>
    <w:rsid w:val="001C4832"/>
    <w:rsid w:val="001C4A7A"/>
    <w:rsid w:val="001C4AF6"/>
    <w:rsid w:val="001C5230"/>
    <w:rsid w:val="001C5373"/>
    <w:rsid w:val="001C5FC6"/>
    <w:rsid w:val="001C67A0"/>
    <w:rsid w:val="001C7925"/>
    <w:rsid w:val="001D0126"/>
    <w:rsid w:val="001D0873"/>
    <w:rsid w:val="001D250B"/>
    <w:rsid w:val="001D4339"/>
    <w:rsid w:val="001D47E0"/>
    <w:rsid w:val="001D693F"/>
    <w:rsid w:val="001D699F"/>
    <w:rsid w:val="001D7F7D"/>
    <w:rsid w:val="001E09DA"/>
    <w:rsid w:val="001E0ADC"/>
    <w:rsid w:val="001E140A"/>
    <w:rsid w:val="001E2908"/>
    <w:rsid w:val="001E40A6"/>
    <w:rsid w:val="001E5AD0"/>
    <w:rsid w:val="001E5BAB"/>
    <w:rsid w:val="001E5F18"/>
    <w:rsid w:val="001E65A5"/>
    <w:rsid w:val="001E67D0"/>
    <w:rsid w:val="001E7935"/>
    <w:rsid w:val="001E7FE6"/>
    <w:rsid w:val="001F02C0"/>
    <w:rsid w:val="001F0652"/>
    <w:rsid w:val="001F15F5"/>
    <w:rsid w:val="001F4D3B"/>
    <w:rsid w:val="001F5F96"/>
    <w:rsid w:val="001F6010"/>
    <w:rsid w:val="001F6882"/>
    <w:rsid w:val="001F6BBC"/>
    <w:rsid w:val="001F7599"/>
    <w:rsid w:val="001F78C1"/>
    <w:rsid w:val="00202AFA"/>
    <w:rsid w:val="00203087"/>
    <w:rsid w:val="0020317C"/>
    <w:rsid w:val="00203A81"/>
    <w:rsid w:val="00204A81"/>
    <w:rsid w:val="00204FB5"/>
    <w:rsid w:val="00206E77"/>
    <w:rsid w:val="00207E99"/>
    <w:rsid w:val="002105D2"/>
    <w:rsid w:val="00210E15"/>
    <w:rsid w:val="0021288C"/>
    <w:rsid w:val="00212EF0"/>
    <w:rsid w:val="00214851"/>
    <w:rsid w:val="00216159"/>
    <w:rsid w:val="0021710A"/>
    <w:rsid w:val="0022009E"/>
    <w:rsid w:val="00220D14"/>
    <w:rsid w:val="00222584"/>
    <w:rsid w:val="0022445E"/>
    <w:rsid w:val="00224575"/>
    <w:rsid w:val="00224E0F"/>
    <w:rsid w:val="002257B3"/>
    <w:rsid w:val="00226F9F"/>
    <w:rsid w:val="0022785D"/>
    <w:rsid w:val="00230415"/>
    <w:rsid w:val="002306E2"/>
    <w:rsid w:val="00230C80"/>
    <w:rsid w:val="00231D09"/>
    <w:rsid w:val="002325EB"/>
    <w:rsid w:val="00232683"/>
    <w:rsid w:val="00233FA3"/>
    <w:rsid w:val="002343A8"/>
    <w:rsid w:val="002344E9"/>
    <w:rsid w:val="00235AE0"/>
    <w:rsid w:val="00235DEA"/>
    <w:rsid w:val="00237580"/>
    <w:rsid w:val="00240B66"/>
    <w:rsid w:val="00241E8A"/>
    <w:rsid w:val="00243714"/>
    <w:rsid w:val="00244448"/>
    <w:rsid w:val="00244651"/>
    <w:rsid w:val="00244A87"/>
    <w:rsid w:val="00244B60"/>
    <w:rsid w:val="00245A3B"/>
    <w:rsid w:val="00246975"/>
    <w:rsid w:val="00246D4D"/>
    <w:rsid w:val="0025057D"/>
    <w:rsid w:val="002505F1"/>
    <w:rsid w:val="00250677"/>
    <w:rsid w:val="002512BD"/>
    <w:rsid w:val="00251B0E"/>
    <w:rsid w:val="00251D47"/>
    <w:rsid w:val="002520B9"/>
    <w:rsid w:val="0025248C"/>
    <w:rsid w:val="0025481E"/>
    <w:rsid w:val="002549BC"/>
    <w:rsid w:val="00254B9C"/>
    <w:rsid w:val="00255928"/>
    <w:rsid w:val="0025627B"/>
    <w:rsid w:val="00257080"/>
    <w:rsid w:val="00260D36"/>
    <w:rsid w:val="0026134E"/>
    <w:rsid w:val="00262133"/>
    <w:rsid w:val="002634FA"/>
    <w:rsid w:val="00263923"/>
    <w:rsid w:val="0026401A"/>
    <w:rsid w:val="00264614"/>
    <w:rsid w:val="00264B52"/>
    <w:rsid w:val="00266622"/>
    <w:rsid w:val="00267B1B"/>
    <w:rsid w:val="00267CDF"/>
    <w:rsid w:val="002719AE"/>
    <w:rsid w:val="0027385C"/>
    <w:rsid w:val="002739A3"/>
    <w:rsid w:val="00273D32"/>
    <w:rsid w:val="002750BE"/>
    <w:rsid w:val="00275D12"/>
    <w:rsid w:val="00280406"/>
    <w:rsid w:val="0028054A"/>
    <w:rsid w:val="0028087D"/>
    <w:rsid w:val="00281CC9"/>
    <w:rsid w:val="00281F74"/>
    <w:rsid w:val="0028201E"/>
    <w:rsid w:val="00283EF9"/>
    <w:rsid w:val="002844CD"/>
    <w:rsid w:val="00286530"/>
    <w:rsid w:val="00286B24"/>
    <w:rsid w:val="00291770"/>
    <w:rsid w:val="00291CA5"/>
    <w:rsid w:val="00292623"/>
    <w:rsid w:val="00293DE8"/>
    <w:rsid w:val="002A01E9"/>
    <w:rsid w:val="002A0477"/>
    <w:rsid w:val="002A083A"/>
    <w:rsid w:val="002A45DF"/>
    <w:rsid w:val="002A5060"/>
    <w:rsid w:val="002A57DB"/>
    <w:rsid w:val="002A7CC6"/>
    <w:rsid w:val="002B0A5C"/>
    <w:rsid w:val="002B0A88"/>
    <w:rsid w:val="002B1C1A"/>
    <w:rsid w:val="002B22D9"/>
    <w:rsid w:val="002B2BD3"/>
    <w:rsid w:val="002B4856"/>
    <w:rsid w:val="002B4B8C"/>
    <w:rsid w:val="002B56A1"/>
    <w:rsid w:val="002B5A52"/>
    <w:rsid w:val="002C0945"/>
    <w:rsid w:val="002C0A8F"/>
    <w:rsid w:val="002C189E"/>
    <w:rsid w:val="002C27CF"/>
    <w:rsid w:val="002C3781"/>
    <w:rsid w:val="002C3AE4"/>
    <w:rsid w:val="002C3B73"/>
    <w:rsid w:val="002C3E09"/>
    <w:rsid w:val="002C4E19"/>
    <w:rsid w:val="002C5D62"/>
    <w:rsid w:val="002D210C"/>
    <w:rsid w:val="002D32E5"/>
    <w:rsid w:val="002D4160"/>
    <w:rsid w:val="002D4672"/>
    <w:rsid w:val="002D4D34"/>
    <w:rsid w:val="002D58FF"/>
    <w:rsid w:val="002D5EEF"/>
    <w:rsid w:val="002D6663"/>
    <w:rsid w:val="002D667D"/>
    <w:rsid w:val="002D765F"/>
    <w:rsid w:val="002E1949"/>
    <w:rsid w:val="002E1B0A"/>
    <w:rsid w:val="002E2983"/>
    <w:rsid w:val="002E3618"/>
    <w:rsid w:val="002E389E"/>
    <w:rsid w:val="002E40F1"/>
    <w:rsid w:val="002E44C8"/>
    <w:rsid w:val="002E5185"/>
    <w:rsid w:val="002E5F03"/>
    <w:rsid w:val="002E7394"/>
    <w:rsid w:val="002E7CE5"/>
    <w:rsid w:val="002F01F8"/>
    <w:rsid w:val="002F140A"/>
    <w:rsid w:val="002F14A7"/>
    <w:rsid w:val="002F21B9"/>
    <w:rsid w:val="002F27F1"/>
    <w:rsid w:val="002F4153"/>
    <w:rsid w:val="002F49E1"/>
    <w:rsid w:val="002F4F27"/>
    <w:rsid w:val="002F5182"/>
    <w:rsid w:val="00300596"/>
    <w:rsid w:val="00301209"/>
    <w:rsid w:val="003012C6"/>
    <w:rsid w:val="00302AA4"/>
    <w:rsid w:val="0030340A"/>
    <w:rsid w:val="00304ED6"/>
    <w:rsid w:val="003060BF"/>
    <w:rsid w:val="00310197"/>
    <w:rsid w:val="0031086B"/>
    <w:rsid w:val="003108EA"/>
    <w:rsid w:val="00310F6A"/>
    <w:rsid w:val="00311018"/>
    <w:rsid w:val="003120E2"/>
    <w:rsid w:val="0031343B"/>
    <w:rsid w:val="003138FF"/>
    <w:rsid w:val="00320618"/>
    <w:rsid w:val="003206BE"/>
    <w:rsid w:val="00320CE2"/>
    <w:rsid w:val="00320FCC"/>
    <w:rsid w:val="003212A9"/>
    <w:rsid w:val="003217FC"/>
    <w:rsid w:val="00321A08"/>
    <w:rsid w:val="00321B55"/>
    <w:rsid w:val="00321B63"/>
    <w:rsid w:val="0032246D"/>
    <w:rsid w:val="00323362"/>
    <w:rsid w:val="00325449"/>
    <w:rsid w:val="00326FC4"/>
    <w:rsid w:val="003271CB"/>
    <w:rsid w:val="00330389"/>
    <w:rsid w:val="00331949"/>
    <w:rsid w:val="00331B7A"/>
    <w:rsid w:val="00331F47"/>
    <w:rsid w:val="00332013"/>
    <w:rsid w:val="00332C92"/>
    <w:rsid w:val="003359BB"/>
    <w:rsid w:val="003360B2"/>
    <w:rsid w:val="0033653F"/>
    <w:rsid w:val="00336CB4"/>
    <w:rsid w:val="00337577"/>
    <w:rsid w:val="00340360"/>
    <w:rsid w:val="003427A8"/>
    <w:rsid w:val="00343F01"/>
    <w:rsid w:val="00351727"/>
    <w:rsid w:val="00352704"/>
    <w:rsid w:val="00353071"/>
    <w:rsid w:val="00354551"/>
    <w:rsid w:val="00354E21"/>
    <w:rsid w:val="00354EDA"/>
    <w:rsid w:val="00356BE2"/>
    <w:rsid w:val="00356E6F"/>
    <w:rsid w:val="00357DAD"/>
    <w:rsid w:val="00360553"/>
    <w:rsid w:val="00360E85"/>
    <w:rsid w:val="00361784"/>
    <w:rsid w:val="00361C41"/>
    <w:rsid w:val="00362676"/>
    <w:rsid w:val="003626E0"/>
    <w:rsid w:val="0036496B"/>
    <w:rsid w:val="0036561C"/>
    <w:rsid w:val="00367D59"/>
    <w:rsid w:val="00371B00"/>
    <w:rsid w:val="003724F1"/>
    <w:rsid w:val="00373330"/>
    <w:rsid w:val="00373508"/>
    <w:rsid w:val="00373D48"/>
    <w:rsid w:val="0037480A"/>
    <w:rsid w:val="00375121"/>
    <w:rsid w:val="00376583"/>
    <w:rsid w:val="003766F7"/>
    <w:rsid w:val="00377690"/>
    <w:rsid w:val="00381110"/>
    <w:rsid w:val="0038261D"/>
    <w:rsid w:val="00382A4E"/>
    <w:rsid w:val="00383109"/>
    <w:rsid w:val="003834F3"/>
    <w:rsid w:val="003849E9"/>
    <w:rsid w:val="00384B75"/>
    <w:rsid w:val="0038582A"/>
    <w:rsid w:val="00386F3A"/>
    <w:rsid w:val="003875A8"/>
    <w:rsid w:val="00387C73"/>
    <w:rsid w:val="00391339"/>
    <w:rsid w:val="00392825"/>
    <w:rsid w:val="003929A5"/>
    <w:rsid w:val="00396A94"/>
    <w:rsid w:val="00397728"/>
    <w:rsid w:val="003A015A"/>
    <w:rsid w:val="003A0CF1"/>
    <w:rsid w:val="003A2856"/>
    <w:rsid w:val="003A3712"/>
    <w:rsid w:val="003A4614"/>
    <w:rsid w:val="003A473B"/>
    <w:rsid w:val="003A4BF9"/>
    <w:rsid w:val="003A5BED"/>
    <w:rsid w:val="003A642F"/>
    <w:rsid w:val="003A7159"/>
    <w:rsid w:val="003A751A"/>
    <w:rsid w:val="003A7790"/>
    <w:rsid w:val="003B0F2B"/>
    <w:rsid w:val="003B1801"/>
    <w:rsid w:val="003B21DB"/>
    <w:rsid w:val="003B3839"/>
    <w:rsid w:val="003B4960"/>
    <w:rsid w:val="003B5017"/>
    <w:rsid w:val="003C1215"/>
    <w:rsid w:val="003C1269"/>
    <w:rsid w:val="003C3928"/>
    <w:rsid w:val="003C3F9E"/>
    <w:rsid w:val="003C415A"/>
    <w:rsid w:val="003C4525"/>
    <w:rsid w:val="003C4F17"/>
    <w:rsid w:val="003C5E97"/>
    <w:rsid w:val="003C5FF9"/>
    <w:rsid w:val="003C688A"/>
    <w:rsid w:val="003D0EBB"/>
    <w:rsid w:val="003D2734"/>
    <w:rsid w:val="003D297C"/>
    <w:rsid w:val="003D2CF3"/>
    <w:rsid w:val="003D3005"/>
    <w:rsid w:val="003D4130"/>
    <w:rsid w:val="003D4DEF"/>
    <w:rsid w:val="003D516E"/>
    <w:rsid w:val="003D5887"/>
    <w:rsid w:val="003D6F9E"/>
    <w:rsid w:val="003D79C4"/>
    <w:rsid w:val="003E0226"/>
    <w:rsid w:val="003E2936"/>
    <w:rsid w:val="003E298F"/>
    <w:rsid w:val="003E4AB9"/>
    <w:rsid w:val="003E5C96"/>
    <w:rsid w:val="003E63F1"/>
    <w:rsid w:val="003E6E07"/>
    <w:rsid w:val="003E70BF"/>
    <w:rsid w:val="003E779A"/>
    <w:rsid w:val="003E79F1"/>
    <w:rsid w:val="003F117A"/>
    <w:rsid w:val="003F2928"/>
    <w:rsid w:val="003F3A31"/>
    <w:rsid w:val="003F4BBB"/>
    <w:rsid w:val="003F6343"/>
    <w:rsid w:val="003F6858"/>
    <w:rsid w:val="003F776E"/>
    <w:rsid w:val="003F783B"/>
    <w:rsid w:val="00401BF7"/>
    <w:rsid w:val="00401F48"/>
    <w:rsid w:val="0040295C"/>
    <w:rsid w:val="00403D80"/>
    <w:rsid w:val="00404A93"/>
    <w:rsid w:val="00404B35"/>
    <w:rsid w:val="00406880"/>
    <w:rsid w:val="00406B35"/>
    <w:rsid w:val="004109A6"/>
    <w:rsid w:val="004127FA"/>
    <w:rsid w:val="00413092"/>
    <w:rsid w:val="004146DD"/>
    <w:rsid w:val="00415680"/>
    <w:rsid w:val="004158F6"/>
    <w:rsid w:val="00415942"/>
    <w:rsid w:val="004162C1"/>
    <w:rsid w:val="00417AFF"/>
    <w:rsid w:val="00420634"/>
    <w:rsid w:val="0042136F"/>
    <w:rsid w:val="00421C17"/>
    <w:rsid w:val="00423250"/>
    <w:rsid w:val="00423B5B"/>
    <w:rsid w:val="00423DEF"/>
    <w:rsid w:val="00426175"/>
    <w:rsid w:val="0042640E"/>
    <w:rsid w:val="004276A0"/>
    <w:rsid w:val="004302D2"/>
    <w:rsid w:val="00430475"/>
    <w:rsid w:val="004305D4"/>
    <w:rsid w:val="00431452"/>
    <w:rsid w:val="004314ED"/>
    <w:rsid w:val="00431FD9"/>
    <w:rsid w:val="00432627"/>
    <w:rsid w:val="00433AAF"/>
    <w:rsid w:val="00433B10"/>
    <w:rsid w:val="004359EF"/>
    <w:rsid w:val="00437194"/>
    <w:rsid w:val="004378BD"/>
    <w:rsid w:val="004424F6"/>
    <w:rsid w:val="00442E91"/>
    <w:rsid w:val="00443966"/>
    <w:rsid w:val="00444C43"/>
    <w:rsid w:val="004467EC"/>
    <w:rsid w:val="00447A1A"/>
    <w:rsid w:val="00450163"/>
    <w:rsid w:val="0045228A"/>
    <w:rsid w:val="004557C1"/>
    <w:rsid w:val="00456298"/>
    <w:rsid w:val="0046035B"/>
    <w:rsid w:val="004632DF"/>
    <w:rsid w:val="004641EA"/>
    <w:rsid w:val="0046471A"/>
    <w:rsid w:val="00464776"/>
    <w:rsid w:val="00467D18"/>
    <w:rsid w:val="004700DC"/>
    <w:rsid w:val="004707B3"/>
    <w:rsid w:val="004726B9"/>
    <w:rsid w:val="00472BEF"/>
    <w:rsid w:val="004743C9"/>
    <w:rsid w:val="00474E05"/>
    <w:rsid w:val="004757A6"/>
    <w:rsid w:val="0047699C"/>
    <w:rsid w:val="00477351"/>
    <w:rsid w:val="00477922"/>
    <w:rsid w:val="00477C2E"/>
    <w:rsid w:val="004805DE"/>
    <w:rsid w:val="00481E04"/>
    <w:rsid w:val="00482D0E"/>
    <w:rsid w:val="00484CAC"/>
    <w:rsid w:val="004851E2"/>
    <w:rsid w:val="0048642D"/>
    <w:rsid w:val="00486D1B"/>
    <w:rsid w:val="00487082"/>
    <w:rsid w:val="00487E4F"/>
    <w:rsid w:val="004908D3"/>
    <w:rsid w:val="004950F2"/>
    <w:rsid w:val="0049518D"/>
    <w:rsid w:val="00495BE1"/>
    <w:rsid w:val="004973A6"/>
    <w:rsid w:val="0049764E"/>
    <w:rsid w:val="004A5B09"/>
    <w:rsid w:val="004A5B35"/>
    <w:rsid w:val="004A5EB4"/>
    <w:rsid w:val="004A6E6D"/>
    <w:rsid w:val="004A7998"/>
    <w:rsid w:val="004A79FF"/>
    <w:rsid w:val="004B0360"/>
    <w:rsid w:val="004B05DE"/>
    <w:rsid w:val="004B1BC0"/>
    <w:rsid w:val="004B243C"/>
    <w:rsid w:val="004B38C5"/>
    <w:rsid w:val="004B4A11"/>
    <w:rsid w:val="004B50DE"/>
    <w:rsid w:val="004B566F"/>
    <w:rsid w:val="004B5AA2"/>
    <w:rsid w:val="004B6152"/>
    <w:rsid w:val="004C14ED"/>
    <w:rsid w:val="004C155A"/>
    <w:rsid w:val="004C20CD"/>
    <w:rsid w:val="004C2181"/>
    <w:rsid w:val="004C49F7"/>
    <w:rsid w:val="004C4AA4"/>
    <w:rsid w:val="004C61DB"/>
    <w:rsid w:val="004C7A66"/>
    <w:rsid w:val="004D0784"/>
    <w:rsid w:val="004D0A39"/>
    <w:rsid w:val="004D3C4A"/>
    <w:rsid w:val="004D47E6"/>
    <w:rsid w:val="004D4BF6"/>
    <w:rsid w:val="004D4C04"/>
    <w:rsid w:val="004D5303"/>
    <w:rsid w:val="004D5B72"/>
    <w:rsid w:val="004D64CA"/>
    <w:rsid w:val="004D7367"/>
    <w:rsid w:val="004D750B"/>
    <w:rsid w:val="004E00CB"/>
    <w:rsid w:val="004E0B30"/>
    <w:rsid w:val="004E3044"/>
    <w:rsid w:val="004E3F93"/>
    <w:rsid w:val="004E4DF1"/>
    <w:rsid w:val="004E5857"/>
    <w:rsid w:val="004E7329"/>
    <w:rsid w:val="004E7638"/>
    <w:rsid w:val="004F0725"/>
    <w:rsid w:val="004F1964"/>
    <w:rsid w:val="004F367D"/>
    <w:rsid w:val="004F3A4D"/>
    <w:rsid w:val="004F4404"/>
    <w:rsid w:val="004F45FC"/>
    <w:rsid w:val="005009C7"/>
    <w:rsid w:val="00501C71"/>
    <w:rsid w:val="00504188"/>
    <w:rsid w:val="00505766"/>
    <w:rsid w:val="00506C83"/>
    <w:rsid w:val="00506E5B"/>
    <w:rsid w:val="0050751F"/>
    <w:rsid w:val="00510ADE"/>
    <w:rsid w:val="00511ABA"/>
    <w:rsid w:val="00511C7F"/>
    <w:rsid w:val="00511D16"/>
    <w:rsid w:val="005148EC"/>
    <w:rsid w:val="00515078"/>
    <w:rsid w:val="00516A1F"/>
    <w:rsid w:val="00517451"/>
    <w:rsid w:val="00517759"/>
    <w:rsid w:val="00520854"/>
    <w:rsid w:val="00520A76"/>
    <w:rsid w:val="00520BAB"/>
    <w:rsid w:val="00521380"/>
    <w:rsid w:val="005215D1"/>
    <w:rsid w:val="00521E6C"/>
    <w:rsid w:val="005230DC"/>
    <w:rsid w:val="00523C02"/>
    <w:rsid w:val="00523C8B"/>
    <w:rsid w:val="005240BA"/>
    <w:rsid w:val="00524456"/>
    <w:rsid w:val="005249F8"/>
    <w:rsid w:val="00526476"/>
    <w:rsid w:val="005269F3"/>
    <w:rsid w:val="00526BA7"/>
    <w:rsid w:val="005274FD"/>
    <w:rsid w:val="00530AD1"/>
    <w:rsid w:val="00530BCD"/>
    <w:rsid w:val="005314B9"/>
    <w:rsid w:val="00533CC4"/>
    <w:rsid w:val="00534CF6"/>
    <w:rsid w:val="0053593A"/>
    <w:rsid w:val="00537730"/>
    <w:rsid w:val="005401F3"/>
    <w:rsid w:val="0054204A"/>
    <w:rsid w:val="00546007"/>
    <w:rsid w:val="005472A7"/>
    <w:rsid w:val="005475C8"/>
    <w:rsid w:val="00547B30"/>
    <w:rsid w:val="00550273"/>
    <w:rsid w:val="005507A8"/>
    <w:rsid w:val="00552255"/>
    <w:rsid w:val="00552526"/>
    <w:rsid w:val="0055278B"/>
    <w:rsid w:val="00553CC9"/>
    <w:rsid w:val="00553CF4"/>
    <w:rsid w:val="00554D1B"/>
    <w:rsid w:val="0055646B"/>
    <w:rsid w:val="00556FEB"/>
    <w:rsid w:val="005607A4"/>
    <w:rsid w:val="005611EE"/>
    <w:rsid w:val="00561591"/>
    <w:rsid w:val="00561766"/>
    <w:rsid w:val="00562892"/>
    <w:rsid w:val="005648BF"/>
    <w:rsid w:val="00564B0F"/>
    <w:rsid w:val="0056614A"/>
    <w:rsid w:val="00566520"/>
    <w:rsid w:val="0056728D"/>
    <w:rsid w:val="00567337"/>
    <w:rsid w:val="00567D85"/>
    <w:rsid w:val="00570E31"/>
    <w:rsid w:val="005728AD"/>
    <w:rsid w:val="00574010"/>
    <w:rsid w:val="00574B7D"/>
    <w:rsid w:val="00577466"/>
    <w:rsid w:val="00577BA3"/>
    <w:rsid w:val="00580DE0"/>
    <w:rsid w:val="00582BC7"/>
    <w:rsid w:val="005830BE"/>
    <w:rsid w:val="005846A8"/>
    <w:rsid w:val="00584AA4"/>
    <w:rsid w:val="00585793"/>
    <w:rsid w:val="005878B3"/>
    <w:rsid w:val="005905B9"/>
    <w:rsid w:val="005905F8"/>
    <w:rsid w:val="00590A98"/>
    <w:rsid w:val="00591719"/>
    <w:rsid w:val="005924C0"/>
    <w:rsid w:val="0059334A"/>
    <w:rsid w:val="005936BF"/>
    <w:rsid w:val="005941AA"/>
    <w:rsid w:val="00594442"/>
    <w:rsid w:val="0059621F"/>
    <w:rsid w:val="005A0239"/>
    <w:rsid w:val="005A0B11"/>
    <w:rsid w:val="005A2760"/>
    <w:rsid w:val="005A2F79"/>
    <w:rsid w:val="005A34B7"/>
    <w:rsid w:val="005A5364"/>
    <w:rsid w:val="005A5FDA"/>
    <w:rsid w:val="005B124A"/>
    <w:rsid w:val="005B1290"/>
    <w:rsid w:val="005B2438"/>
    <w:rsid w:val="005B290B"/>
    <w:rsid w:val="005B2A02"/>
    <w:rsid w:val="005B3518"/>
    <w:rsid w:val="005B35FB"/>
    <w:rsid w:val="005B4987"/>
    <w:rsid w:val="005B49A8"/>
    <w:rsid w:val="005B583F"/>
    <w:rsid w:val="005B5F6C"/>
    <w:rsid w:val="005B6D4C"/>
    <w:rsid w:val="005B762D"/>
    <w:rsid w:val="005C28C7"/>
    <w:rsid w:val="005C42CB"/>
    <w:rsid w:val="005C5BF5"/>
    <w:rsid w:val="005C619B"/>
    <w:rsid w:val="005C75B0"/>
    <w:rsid w:val="005D1396"/>
    <w:rsid w:val="005D1C63"/>
    <w:rsid w:val="005D264D"/>
    <w:rsid w:val="005D29F3"/>
    <w:rsid w:val="005D3AA2"/>
    <w:rsid w:val="005D7A92"/>
    <w:rsid w:val="005E1215"/>
    <w:rsid w:val="005E2A10"/>
    <w:rsid w:val="005E3054"/>
    <w:rsid w:val="005E3BDF"/>
    <w:rsid w:val="005E4C37"/>
    <w:rsid w:val="005E5E19"/>
    <w:rsid w:val="005E69C8"/>
    <w:rsid w:val="005E7D8D"/>
    <w:rsid w:val="005E7F17"/>
    <w:rsid w:val="005F1051"/>
    <w:rsid w:val="005F1B71"/>
    <w:rsid w:val="005F2F93"/>
    <w:rsid w:val="005F485E"/>
    <w:rsid w:val="005F4CED"/>
    <w:rsid w:val="005F5B37"/>
    <w:rsid w:val="005F5D05"/>
    <w:rsid w:val="005F6468"/>
    <w:rsid w:val="005F65AC"/>
    <w:rsid w:val="00600CFA"/>
    <w:rsid w:val="00601FA1"/>
    <w:rsid w:val="00603CDE"/>
    <w:rsid w:val="006041FD"/>
    <w:rsid w:val="0060488B"/>
    <w:rsid w:val="006057BA"/>
    <w:rsid w:val="0060625A"/>
    <w:rsid w:val="00606E5C"/>
    <w:rsid w:val="00610550"/>
    <w:rsid w:val="006107D1"/>
    <w:rsid w:val="00612B47"/>
    <w:rsid w:val="006136D2"/>
    <w:rsid w:val="00615BAB"/>
    <w:rsid w:val="0061692C"/>
    <w:rsid w:val="00616E60"/>
    <w:rsid w:val="00617CAC"/>
    <w:rsid w:val="00622741"/>
    <w:rsid w:val="006232D0"/>
    <w:rsid w:val="00623A5B"/>
    <w:rsid w:val="00623CF0"/>
    <w:rsid w:val="006258EB"/>
    <w:rsid w:val="00630A09"/>
    <w:rsid w:val="00631DFA"/>
    <w:rsid w:val="00632094"/>
    <w:rsid w:val="00634B02"/>
    <w:rsid w:val="00634B53"/>
    <w:rsid w:val="00635F4E"/>
    <w:rsid w:val="00636879"/>
    <w:rsid w:val="00636AF2"/>
    <w:rsid w:val="00640969"/>
    <w:rsid w:val="00640A16"/>
    <w:rsid w:val="00641B2F"/>
    <w:rsid w:val="00642865"/>
    <w:rsid w:val="00643570"/>
    <w:rsid w:val="00643983"/>
    <w:rsid w:val="0064589A"/>
    <w:rsid w:val="00645EAA"/>
    <w:rsid w:val="00646A81"/>
    <w:rsid w:val="00646FE1"/>
    <w:rsid w:val="00647D0C"/>
    <w:rsid w:val="00647FF8"/>
    <w:rsid w:val="0065071F"/>
    <w:rsid w:val="00652CDB"/>
    <w:rsid w:val="00652EE7"/>
    <w:rsid w:val="00654295"/>
    <w:rsid w:val="00654461"/>
    <w:rsid w:val="006549C1"/>
    <w:rsid w:val="00655176"/>
    <w:rsid w:val="00657609"/>
    <w:rsid w:val="006576D3"/>
    <w:rsid w:val="006577C6"/>
    <w:rsid w:val="00657903"/>
    <w:rsid w:val="00657DA2"/>
    <w:rsid w:val="00660DBB"/>
    <w:rsid w:val="00663DCC"/>
    <w:rsid w:val="00663E14"/>
    <w:rsid w:val="00663FFE"/>
    <w:rsid w:val="006641EC"/>
    <w:rsid w:val="00664520"/>
    <w:rsid w:val="00664ED1"/>
    <w:rsid w:val="0066504C"/>
    <w:rsid w:val="00665139"/>
    <w:rsid w:val="0067093B"/>
    <w:rsid w:val="00670C03"/>
    <w:rsid w:val="00670F14"/>
    <w:rsid w:val="006718E4"/>
    <w:rsid w:val="006718F5"/>
    <w:rsid w:val="00671CEC"/>
    <w:rsid w:val="00673416"/>
    <w:rsid w:val="00674125"/>
    <w:rsid w:val="00675055"/>
    <w:rsid w:val="00675719"/>
    <w:rsid w:val="00680973"/>
    <w:rsid w:val="00680C94"/>
    <w:rsid w:val="006831F6"/>
    <w:rsid w:val="00683A04"/>
    <w:rsid w:val="006857C4"/>
    <w:rsid w:val="00685C70"/>
    <w:rsid w:val="006860EF"/>
    <w:rsid w:val="006863F9"/>
    <w:rsid w:val="0068728C"/>
    <w:rsid w:val="0068769A"/>
    <w:rsid w:val="006876A0"/>
    <w:rsid w:val="00687CA6"/>
    <w:rsid w:val="00690236"/>
    <w:rsid w:val="0069029A"/>
    <w:rsid w:val="006909BB"/>
    <w:rsid w:val="00691614"/>
    <w:rsid w:val="0069223C"/>
    <w:rsid w:val="0069287D"/>
    <w:rsid w:val="006932AD"/>
    <w:rsid w:val="00693F2F"/>
    <w:rsid w:val="00694943"/>
    <w:rsid w:val="00695403"/>
    <w:rsid w:val="006A01BB"/>
    <w:rsid w:val="006A30B6"/>
    <w:rsid w:val="006A3CEA"/>
    <w:rsid w:val="006A4454"/>
    <w:rsid w:val="006A61DB"/>
    <w:rsid w:val="006A6355"/>
    <w:rsid w:val="006A6C62"/>
    <w:rsid w:val="006A739E"/>
    <w:rsid w:val="006A748E"/>
    <w:rsid w:val="006B02F9"/>
    <w:rsid w:val="006B351A"/>
    <w:rsid w:val="006B7CE6"/>
    <w:rsid w:val="006B7EC7"/>
    <w:rsid w:val="006C05F8"/>
    <w:rsid w:val="006C0FE7"/>
    <w:rsid w:val="006C18AA"/>
    <w:rsid w:val="006C1D63"/>
    <w:rsid w:val="006C3BA6"/>
    <w:rsid w:val="006C570E"/>
    <w:rsid w:val="006C5792"/>
    <w:rsid w:val="006C6B81"/>
    <w:rsid w:val="006C77F9"/>
    <w:rsid w:val="006D1483"/>
    <w:rsid w:val="006D1EBF"/>
    <w:rsid w:val="006D2B98"/>
    <w:rsid w:val="006D4096"/>
    <w:rsid w:val="006D7247"/>
    <w:rsid w:val="006D7BE7"/>
    <w:rsid w:val="006E0D3C"/>
    <w:rsid w:val="006E0F37"/>
    <w:rsid w:val="006E36EB"/>
    <w:rsid w:val="006E72DF"/>
    <w:rsid w:val="006E74F8"/>
    <w:rsid w:val="006F070C"/>
    <w:rsid w:val="006F340B"/>
    <w:rsid w:val="006F4770"/>
    <w:rsid w:val="006F498B"/>
    <w:rsid w:val="006F4B2E"/>
    <w:rsid w:val="006F5563"/>
    <w:rsid w:val="006F5809"/>
    <w:rsid w:val="006F5BC3"/>
    <w:rsid w:val="006F7194"/>
    <w:rsid w:val="0070016E"/>
    <w:rsid w:val="00701DC8"/>
    <w:rsid w:val="007024EA"/>
    <w:rsid w:val="007025BD"/>
    <w:rsid w:val="00702D52"/>
    <w:rsid w:val="00703E04"/>
    <w:rsid w:val="00703FF7"/>
    <w:rsid w:val="0070455A"/>
    <w:rsid w:val="00704B15"/>
    <w:rsid w:val="0070534B"/>
    <w:rsid w:val="007064FA"/>
    <w:rsid w:val="00706725"/>
    <w:rsid w:val="00707C3A"/>
    <w:rsid w:val="007103C1"/>
    <w:rsid w:val="00711F63"/>
    <w:rsid w:val="00711F74"/>
    <w:rsid w:val="00711FDE"/>
    <w:rsid w:val="00712508"/>
    <w:rsid w:val="00712AC9"/>
    <w:rsid w:val="007136A9"/>
    <w:rsid w:val="00714A63"/>
    <w:rsid w:val="00716D7A"/>
    <w:rsid w:val="007177CE"/>
    <w:rsid w:val="00717C10"/>
    <w:rsid w:val="00720759"/>
    <w:rsid w:val="00721189"/>
    <w:rsid w:val="007212B9"/>
    <w:rsid w:val="0072144D"/>
    <w:rsid w:val="00721E08"/>
    <w:rsid w:val="0072229B"/>
    <w:rsid w:val="00723B8B"/>
    <w:rsid w:val="007241B7"/>
    <w:rsid w:val="0072467E"/>
    <w:rsid w:val="0072584E"/>
    <w:rsid w:val="00725D0D"/>
    <w:rsid w:val="00726406"/>
    <w:rsid w:val="00726E2E"/>
    <w:rsid w:val="00727151"/>
    <w:rsid w:val="0072790B"/>
    <w:rsid w:val="00727E5E"/>
    <w:rsid w:val="0073088E"/>
    <w:rsid w:val="007322E0"/>
    <w:rsid w:val="007329F2"/>
    <w:rsid w:val="00732BB9"/>
    <w:rsid w:val="00733B40"/>
    <w:rsid w:val="00734886"/>
    <w:rsid w:val="00735AB9"/>
    <w:rsid w:val="00736008"/>
    <w:rsid w:val="007371EE"/>
    <w:rsid w:val="00737D09"/>
    <w:rsid w:val="00740C93"/>
    <w:rsid w:val="007447E6"/>
    <w:rsid w:val="00746174"/>
    <w:rsid w:val="00746338"/>
    <w:rsid w:val="00750455"/>
    <w:rsid w:val="00751D11"/>
    <w:rsid w:val="007528B6"/>
    <w:rsid w:val="007540EE"/>
    <w:rsid w:val="00755B2C"/>
    <w:rsid w:val="00755D94"/>
    <w:rsid w:val="00756E48"/>
    <w:rsid w:val="007571CD"/>
    <w:rsid w:val="00760506"/>
    <w:rsid w:val="00764CD8"/>
    <w:rsid w:val="007659BD"/>
    <w:rsid w:val="00765D09"/>
    <w:rsid w:val="00766114"/>
    <w:rsid w:val="00766615"/>
    <w:rsid w:val="007669F3"/>
    <w:rsid w:val="007705FB"/>
    <w:rsid w:val="00771FF3"/>
    <w:rsid w:val="00772181"/>
    <w:rsid w:val="00773246"/>
    <w:rsid w:val="007740BE"/>
    <w:rsid w:val="0077532B"/>
    <w:rsid w:val="00777C65"/>
    <w:rsid w:val="00780271"/>
    <w:rsid w:val="00782A09"/>
    <w:rsid w:val="0078434A"/>
    <w:rsid w:val="0078560D"/>
    <w:rsid w:val="00785D08"/>
    <w:rsid w:val="00785F65"/>
    <w:rsid w:val="00786023"/>
    <w:rsid w:val="007863D9"/>
    <w:rsid w:val="00786E7F"/>
    <w:rsid w:val="00787DD6"/>
    <w:rsid w:val="00791788"/>
    <w:rsid w:val="00791C7A"/>
    <w:rsid w:val="00792153"/>
    <w:rsid w:val="007926B0"/>
    <w:rsid w:val="0079330B"/>
    <w:rsid w:val="00793FDD"/>
    <w:rsid w:val="00794540"/>
    <w:rsid w:val="00796236"/>
    <w:rsid w:val="007A0918"/>
    <w:rsid w:val="007A0FA8"/>
    <w:rsid w:val="007A17FF"/>
    <w:rsid w:val="007A2577"/>
    <w:rsid w:val="007A2D1F"/>
    <w:rsid w:val="007A4152"/>
    <w:rsid w:val="007A4408"/>
    <w:rsid w:val="007A5CBB"/>
    <w:rsid w:val="007A7715"/>
    <w:rsid w:val="007A7A83"/>
    <w:rsid w:val="007B1F1B"/>
    <w:rsid w:val="007B272E"/>
    <w:rsid w:val="007B3B2C"/>
    <w:rsid w:val="007B4618"/>
    <w:rsid w:val="007B4AB6"/>
    <w:rsid w:val="007B655E"/>
    <w:rsid w:val="007C026E"/>
    <w:rsid w:val="007C05D7"/>
    <w:rsid w:val="007C1CF9"/>
    <w:rsid w:val="007C3907"/>
    <w:rsid w:val="007C56DD"/>
    <w:rsid w:val="007C7E2A"/>
    <w:rsid w:val="007D1E17"/>
    <w:rsid w:val="007D20F6"/>
    <w:rsid w:val="007D29B3"/>
    <w:rsid w:val="007D2DA4"/>
    <w:rsid w:val="007D3562"/>
    <w:rsid w:val="007D47B0"/>
    <w:rsid w:val="007D4F15"/>
    <w:rsid w:val="007D672F"/>
    <w:rsid w:val="007D7A06"/>
    <w:rsid w:val="007E05D1"/>
    <w:rsid w:val="007E2EC2"/>
    <w:rsid w:val="007E5DA6"/>
    <w:rsid w:val="007E6A99"/>
    <w:rsid w:val="007E7AB0"/>
    <w:rsid w:val="007F0E36"/>
    <w:rsid w:val="007F15CB"/>
    <w:rsid w:val="007F273B"/>
    <w:rsid w:val="007F324C"/>
    <w:rsid w:val="007F60AA"/>
    <w:rsid w:val="007F6CB6"/>
    <w:rsid w:val="008014BA"/>
    <w:rsid w:val="0080226A"/>
    <w:rsid w:val="0080307B"/>
    <w:rsid w:val="00806CEF"/>
    <w:rsid w:val="00807944"/>
    <w:rsid w:val="00807F10"/>
    <w:rsid w:val="00811269"/>
    <w:rsid w:val="00811826"/>
    <w:rsid w:val="00811A8E"/>
    <w:rsid w:val="00812DBB"/>
    <w:rsid w:val="00813046"/>
    <w:rsid w:val="008144D2"/>
    <w:rsid w:val="008149BB"/>
    <w:rsid w:val="00814D99"/>
    <w:rsid w:val="00816A88"/>
    <w:rsid w:val="00816D9A"/>
    <w:rsid w:val="0081727D"/>
    <w:rsid w:val="008200CD"/>
    <w:rsid w:val="008204F2"/>
    <w:rsid w:val="008208FE"/>
    <w:rsid w:val="008234C2"/>
    <w:rsid w:val="008235DE"/>
    <w:rsid w:val="0082499A"/>
    <w:rsid w:val="00824DF2"/>
    <w:rsid w:val="008259A8"/>
    <w:rsid w:val="00825CF6"/>
    <w:rsid w:val="0083054B"/>
    <w:rsid w:val="008307B8"/>
    <w:rsid w:val="00830BD6"/>
    <w:rsid w:val="00830EA3"/>
    <w:rsid w:val="00832F0E"/>
    <w:rsid w:val="00835859"/>
    <w:rsid w:val="008358E9"/>
    <w:rsid w:val="00836CE4"/>
    <w:rsid w:val="008372C9"/>
    <w:rsid w:val="00840202"/>
    <w:rsid w:val="00840E68"/>
    <w:rsid w:val="00843210"/>
    <w:rsid w:val="0085153E"/>
    <w:rsid w:val="00851D87"/>
    <w:rsid w:val="00851FF5"/>
    <w:rsid w:val="00853767"/>
    <w:rsid w:val="00854BCA"/>
    <w:rsid w:val="00855C12"/>
    <w:rsid w:val="00856128"/>
    <w:rsid w:val="008574A8"/>
    <w:rsid w:val="00860817"/>
    <w:rsid w:val="00862106"/>
    <w:rsid w:val="008621EB"/>
    <w:rsid w:val="00862ACE"/>
    <w:rsid w:val="00862E40"/>
    <w:rsid w:val="00862FB8"/>
    <w:rsid w:val="00863856"/>
    <w:rsid w:val="00863FD3"/>
    <w:rsid w:val="008653C7"/>
    <w:rsid w:val="008663B9"/>
    <w:rsid w:val="00867773"/>
    <w:rsid w:val="0087003B"/>
    <w:rsid w:val="008722B4"/>
    <w:rsid w:val="0087278F"/>
    <w:rsid w:val="008737FF"/>
    <w:rsid w:val="00873875"/>
    <w:rsid w:val="00873E05"/>
    <w:rsid w:val="00874111"/>
    <w:rsid w:val="00875326"/>
    <w:rsid w:val="00880F8B"/>
    <w:rsid w:val="00881A54"/>
    <w:rsid w:val="008856C1"/>
    <w:rsid w:val="008860C2"/>
    <w:rsid w:val="00886883"/>
    <w:rsid w:val="0089068B"/>
    <w:rsid w:val="00890A6E"/>
    <w:rsid w:val="00890BD1"/>
    <w:rsid w:val="00891266"/>
    <w:rsid w:val="008931CC"/>
    <w:rsid w:val="008939CC"/>
    <w:rsid w:val="00893CE0"/>
    <w:rsid w:val="00893CF8"/>
    <w:rsid w:val="008943DE"/>
    <w:rsid w:val="00894A40"/>
    <w:rsid w:val="0089717C"/>
    <w:rsid w:val="008A2762"/>
    <w:rsid w:val="008A2A0B"/>
    <w:rsid w:val="008A2C4B"/>
    <w:rsid w:val="008A3F37"/>
    <w:rsid w:val="008A5801"/>
    <w:rsid w:val="008A5EA2"/>
    <w:rsid w:val="008B0F49"/>
    <w:rsid w:val="008B15FE"/>
    <w:rsid w:val="008B1673"/>
    <w:rsid w:val="008B352F"/>
    <w:rsid w:val="008B63C2"/>
    <w:rsid w:val="008B66AB"/>
    <w:rsid w:val="008C1BD3"/>
    <w:rsid w:val="008C31DC"/>
    <w:rsid w:val="008C4179"/>
    <w:rsid w:val="008C477D"/>
    <w:rsid w:val="008C50B4"/>
    <w:rsid w:val="008C6D8F"/>
    <w:rsid w:val="008D1AEB"/>
    <w:rsid w:val="008D2026"/>
    <w:rsid w:val="008D2501"/>
    <w:rsid w:val="008D2F11"/>
    <w:rsid w:val="008D3385"/>
    <w:rsid w:val="008D3533"/>
    <w:rsid w:val="008D462F"/>
    <w:rsid w:val="008D4715"/>
    <w:rsid w:val="008D5B41"/>
    <w:rsid w:val="008D62A1"/>
    <w:rsid w:val="008E02FF"/>
    <w:rsid w:val="008E0BB3"/>
    <w:rsid w:val="008E0E81"/>
    <w:rsid w:val="008E19E4"/>
    <w:rsid w:val="008E4CF5"/>
    <w:rsid w:val="008E6B61"/>
    <w:rsid w:val="008E6F8B"/>
    <w:rsid w:val="008F0AF3"/>
    <w:rsid w:val="008F0FBB"/>
    <w:rsid w:val="008F1F44"/>
    <w:rsid w:val="008F22E4"/>
    <w:rsid w:val="008F230A"/>
    <w:rsid w:val="008F32C4"/>
    <w:rsid w:val="008F3C24"/>
    <w:rsid w:val="008F3FE6"/>
    <w:rsid w:val="008F5136"/>
    <w:rsid w:val="009011CC"/>
    <w:rsid w:val="00902188"/>
    <w:rsid w:val="00902F00"/>
    <w:rsid w:val="009039BE"/>
    <w:rsid w:val="009045E4"/>
    <w:rsid w:val="009049AE"/>
    <w:rsid w:val="00904FBD"/>
    <w:rsid w:val="009050B6"/>
    <w:rsid w:val="00907308"/>
    <w:rsid w:val="009120D0"/>
    <w:rsid w:val="0091260D"/>
    <w:rsid w:val="00912E72"/>
    <w:rsid w:val="00913159"/>
    <w:rsid w:val="009131AE"/>
    <w:rsid w:val="00915576"/>
    <w:rsid w:val="00916179"/>
    <w:rsid w:val="00916A3A"/>
    <w:rsid w:val="00916CB6"/>
    <w:rsid w:val="00917916"/>
    <w:rsid w:val="00920052"/>
    <w:rsid w:val="00920936"/>
    <w:rsid w:val="00920FF5"/>
    <w:rsid w:val="00921DC2"/>
    <w:rsid w:val="00922AA4"/>
    <w:rsid w:val="0092488A"/>
    <w:rsid w:val="009248D8"/>
    <w:rsid w:val="0092588F"/>
    <w:rsid w:val="00926CD6"/>
    <w:rsid w:val="009270C7"/>
    <w:rsid w:val="00930127"/>
    <w:rsid w:val="00930966"/>
    <w:rsid w:val="00932B25"/>
    <w:rsid w:val="00932CAD"/>
    <w:rsid w:val="00933787"/>
    <w:rsid w:val="0093437A"/>
    <w:rsid w:val="00935CDC"/>
    <w:rsid w:val="0093691F"/>
    <w:rsid w:val="0094036A"/>
    <w:rsid w:val="00940476"/>
    <w:rsid w:val="00940894"/>
    <w:rsid w:val="009408E0"/>
    <w:rsid w:val="00941F70"/>
    <w:rsid w:val="0094282A"/>
    <w:rsid w:val="00942CA4"/>
    <w:rsid w:val="00943A02"/>
    <w:rsid w:val="00944499"/>
    <w:rsid w:val="00945C71"/>
    <w:rsid w:val="009502BD"/>
    <w:rsid w:val="0095065F"/>
    <w:rsid w:val="00950B53"/>
    <w:rsid w:val="00952248"/>
    <w:rsid w:val="00955673"/>
    <w:rsid w:val="009569C2"/>
    <w:rsid w:val="009572A2"/>
    <w:rsid w:val="00957941"/>
    <w:rsid w:val="00961139"/>
    <w:rsid w:val="009615F9"/>
    <w:rsid w:val="00962DDD"/>
    <w:rsid w:val="009643BD"/>
    <w:rsid w:val="009647B7"/>
    <w:rsid w:val="00964B2E"/>
    <w:rsid w:val="009659B5"/>
    <w:rsid w:val="00965E14"/>
    <w:rsid w:val="00966DFF"/>
    <w:rsid w:val="00967476"/>
    <w:rsid w:val="0096794F"/>
    <w:rsid w:val="00967D0F"/>
    <w:rsid w:val="00970D19"/>
    <w:rsid w:val="009718A0"/>
    <w:rsid w:val="00971CAD"/>
    <w:rsid w:val="009723CA"/>
    <w:rsid w:val="0097272F"/>
    <w:rsid w:val="009732FF"/>
    <w:rsid w:val="00974311"/>
    <w:rsid w:val="00975C04"/>
    <w:rsid w:val="00976A38"/>
    <w:rsid w:val="00981A63"/>
    <w:rsid w:val="00981D62"/>
    <w:rsid w:val="00984081"/>
    <w:rsid w:val="009844C0"/>
    <w:rsid w:val="00985B04"/>
    <w:rsid w:val="00990EBA"/>
    <w:rsid w:val="00990FA7"/>
    <w:rsid w:val="009912CC"/>
    <w:rsid w:val="00992642"/>
    <w:rsid w:val="00992B5A"/>
    <w:rsid w:val="00994255"/>
    <w:rsid w:val="00995742"/>
    <w:rsid w:val="00995897"/>
    <w:rsid w:val="00995AF1"/>
    <w:rsid w:val="00996B35"/>
    <w:rsid w:val="00996BD7"/>
    <w:rsid w:val="00997618"/>
    <w:rsid w:val="00997911"/>
    <w:rsid w:val="009A23D1"/>
    <w:rsid w:val="009A240A"/>
    <w:rsid w:val="009A26C9"/>
    <w:rsid w:val="009A271A"/>
    <w:rsid w:val="009A468A"/>
    <w:rsid w:val="009A59F0"/>
    <w:rsid w:val="009A754A"/>
    <w:rsid w:val="009B1715"/>
    <w:rsid w:val="009B3A48"/>
    <w:rsid w:val="009B3F50"/>
    <w:rsid w:val="009B5D32"/>
    <w:rsid w:val="009B67E7"/>
    <w:rsid w:val="009B6968"/>
    <w:rsid w:val="009B6E74"/>
    <w:rsid w:val="009C0E64"/>
    <w:rsid w:val="009C0F3A"/>
    <w:rsid w:val="009C414F"/>
    <w:rsid w:val="009C433E"/>
    <w:rsid w:val="009C4A7C"/>
    <w:rsid w:val="009C703B"/>
    <w:rsid w:val="009D1A0A"/>
    <w:rsid w:val="009D3059"/>
    <w:rsid w:val="009D36CE"/>
    <w:rsid w:val="009D44DE"/>
    <w:rsid w:val="009D5F75"/>
    <w:rsid w:val="009E02DA"/>
    <w:rsid w:val="009E0A9B"/>
    <w:rsid w:val="009E1714"/>
    <w:rsid w:val="009E2C7A"/>
    <w:rsid w:val="009E2D6F"/>
    <w:rsid w:val="009E5270"/>
    <w:rsid w:val="009E5D55"/>
    <w:rsid w:val="009E5EB9"/>
    <w:rsid w:val="009E64C1"/>
    <w:rsid w:val="009E74E0"/>
    <w:rsid w:val="009E7BC2"/>
    <w:rsid w:val="009F0291"/>
    <w:rsid w:val="009F038A"/>
    <w:rsid w:val="009F0638"/>
    <w:rsid w:val="009F1055"/>
    <w:rsid w:val="009F2BF1"/>
    <w:rsid w:val="009F34C7"/>
    <w:rsid w:val="009F3779"/>
    <w:rsid w:val="009F5039"/>
    <w:rsid w:val="009F51C9"/>
    <w:rsid w:val="009F53A3"/>
    <w:rsid w:val="009F58D1"/>
    <w:rsid w:val="00A00AD2"/>
    <w:rsid w:val="00A01EDF"/>
    <w:rsid w:val="00A0317E"/>
    <w:rsid w:val="00A03C38"/>
    <w:rsid w:val="00A04F5A"/>
    <w:rsid w:val="00A0579A"/>
    <w:rsid w:val="00A06B5C"/>
    <w:rsid w:val="00A072EA"/>
    <w:rsid w:val="00A11DDF"/>
    <w:rsid w:val="00A12720"/>
    <w:rsid w:val="00A129B2"/>
    <w:rsid w:val="00A129C2"/>
    <w:rsid w:val="00A131D1"/>
    <w:rsid w:val="00A13227"/>
    <w:rsid w:val="00A14B8F"/>
    <w:rsid w:val="00A15BE6"/>
    <w:rsid w:val="00A21B9D"/>
    <w:rsid w:val="00A22056"/>
    <w:rsid w:val="00A22120"/>
    <w:rsid w:val="00A25136"/>
    <w:rsid w:val="00A2599D"/>
    <w:rsid w:val="00A26159"/>
    <w:rsid w:val="00A27225"/>
    <w:rsid w:val="00A30AF5"/>
    <w:rsid w:val="00A312F5"/>
    <w:rsid w:val="00A334BA"/>
    <w:rsid w:val="00A3376F"/>
    <w:rsid w:val="00A33FD5"/>
    <w:rsid w:val="00A35B1E"/>
    <w:rsid w:val="00A36001"/>
    <w:rsid w:val="00A36D04"/>
    <w:rsid w:val="00A371C7"/>
    <w:rsid w:val="00A372C6"/>
    <w:rsid w:val="00A41728"/>
    <w:rsid w:val="00A41AE3"/>
    <w:rsid w:val="00A41CB8"/>
    <w:rsid w:val="00A42943"/>
    <w:rsid w:val="00A43A83"/>
    <w:rsid w:val="00A43C59"/>
    <w:rsid w:val="00A44EB9"/>
    <w:rsid w:val="00A46559"/>
    <w:rsid w:val="00A46741"/>
    <w:rsid w:val="00A475B6"/>
    <w:rsid w:val="00A47FE2"/>
    <w:rsid w:val="00A50565"/>
    <w:rsid w:val="00A50F3E"/>
    <w:rsid w:val="00A51A47"/>
    <w:rsid w:val="00A524CD"/>
    <w:rsid w:val="00A52675"/>
    <w:rsid w:val="00A542F7"/>
    <w:rsid w:val="00A55396"/>
    <w:rsid w:val="00A56141"/>
    <w:rsid w:val="00A5618E"/>
    <w:rsid w:val="00A56DF7"/>
    <w:rsid w:val="00A57747"/>
    <w:rsid w:val="00A605AF"/>
    <w:rsid w:val="00A605B0"/>
    <w:rsid w:val="00A6171B"/>
    <w:rsid w:val="00A61E8C"/>
    <w:rsid w:val="00A63E2E"/>
    <w:rsid w:val="00A65208"/>
    <w:rsid w:val="00A6521D"/>
    <w:rsid w:val="00A658BA"/>
    <w:rsid w:val="00A65CC0"/>
    <w:rsid w:val="00A6662D"/>
    <w:rsid w:val="00A671B4"/>
    <w:rsid w:val="00A70129"/>
    <w:rsid w:val="00A702E1"/>
    <w:rsid w:val="00A73791"/>
    <w:rsid w:val="00A77F66"/>
    <w:rsid w:val="00A80E8E"/>
    <w:rsid w:val="00A81129"/>
    <w:rsid w:val="00A8124F"/>
    <w:rsid w:val="00A8197A"/>
    <w:rsid w:val="00A82FD1"/>
    <w:rsid w:val="00A85788"/>
    <w:rsid w:val="00A86464"/>
    <w:rsid w:val="00A86AF0"/>
    <w:rsid w:val="00A874B1"/>
    <w:rsid w:val="00A904C1"/>
    <w:rsid w:val="00A911F9"/>
    <w:rsid w:val="00A91458"/>
    <w:rsid w:val="00A94C5C"/>
    <w:rsid w:val="00A94E0A"/>
    <w:rsid w:val="00A95597"/>
    <w:rsid w:val="00A95D47"/>
    <w:rsid w:val="00A961EB"/>
    <w:rsid w:val="00A962C3"/>
    <w:rsid w:val="00A96C4A"/>
    <w:rsid w:val="00A97C89"/>
    <w:rsid w:val="00AA1BD0"/>
    <w:rsid w:val="00AA326C"/>
    <w:rsid w:val="00AA3DAD"/>
    <w:rsid w:val="00AA47C7"/>
    <w:rsid w:val="00AA4DA8"/>
    <w:rsid w:val="00AA4FBB"/>
    <w:rsid w:val="00AA5D5D"/>
    <w:rsid w:val="00AB104A"/>
    <w:rsid w:val="00AB3AA6"/>
    <w:rsid w:val="00AB6D60"/>
    <w:rsid w:val="00AB7784"/>
    <w:rsid w:val="00AB786D"/>
    <w:rsid w:val="00AB7EFE"/>
    <w:rsid w:val="00AC43B4"/>
    <w:rsid w:val="00AC56A3"/>
    <w:rsid w:val="00AC6919"/>
    <w:rsid w:val="00AC722B"/>
    <w:rsid w:val="00AD0FEA"/>
    <w:rsid w:val="00AD1083"/>
    <w:rsid w:val="00AD15A8"/>
    <w:rsid w:val="00AD5E0C"/>
    <w:rsid w:val="00AD643E"/>
    <w:rsid w:val="00AE0653"/>
    <w:rsid w:val="00AE09AF"/>
    <w:rsid w:val="00AE0BAB"/>
    <w:rsid w:val="00AE0C8C"/>
    <w:rsid w:val="00AE3F1D"/>
    <w:rsid w:val="00AE5E6C"/>
    <w:rsid w:val="00AE6D89"/>
    <w:rsid w:val="00AE6F62"/>
    <w:rsid w:val="00AE7381"/>
    <w:rsid w:val="00AE7D1C"/>
    <w:rsid w:val="00AF226E"/>
    <w:rsid w:val="00AF248C"/>
    <w:rsid w:val="00AF321A"/>
    <w:rsid w:val="00AF3CE1"/>
    <w:rsid w:val="00AF3D24"/>
    <w:rsid w:val="00AF566D"/>
    <w:rsid w:val="00AF6CCE"/>
    <w:rsid w:val="00AF78D4"/>
    <w:rsid w:val="00AF7C51"/>
    <w:rsid w:val="00B00A70"/>
    <w:rsid w:val="00B02A15"/>
    <w:rsid w:val="00B033B1"/>
    <w:rsid w:val="00B04A3F"/>
    <w:rsid w:val="00B04DE8"/>
    <w:rsid w:val="00B04F16"/>
    <w:rsid w:val="00B069EE"/>
    <w:rsid w:val="00B109CC"/>
    <w:rsid w:val="00B10FD2"/>
    <w:rsid w:val="00B119AD"/>
    <w:rsid w:val="00B14159"/>
    <w:rsid w:val="00B14ED9"/>
    <w:rsid w:val="00B15D71"/>
    <w:rsid w:val="00B170A7"/>
    <w:rsid w:val="00B170ED"/>
    <w:rsid w:val="00B23D0C"/>
    <w:rsid w:val="00B25090"/>
    <w:rsid w:val="00B25ACB"/>
    <w:rsid w:val="00B26BBA"/>
    <w:rsid w:val="00B26EB5"/>
    <w:rsid w:val="00B2793B"/>
    <w:rsid w:val="00B30285"/>
    <w:rsid w:val="00B30876"/>
    <w:rsid w:val="00B31F92"/>
    <w:rsid w:val="00B326D3"/>
    <w:rsid w:val="00B32AA1"/>
    <w:rsid w:val="00B32BAF"/>
    <w:rsid w:val="00B340F8"/>
    <w:rsid w:val="00B34713"/>
    <w:rsid w:val="00B34BF2"/>
    <w:rsid w:val="00B34C1B"/>
    <w:rsid w:val="00B35220"/>
    <w:rsid w:val="00B3533F"/>
    <w:rsid w:val="00B3712F"/>
    <w:rsid w:val="00B377B0"/>
    <w:rsid w:val="00B424CC"/>
    <w:rsid w:val="00B446C9"/>
    <w:rsid w:val="00B45A2A"/>
    <w:rsid w:val="00B469EC"/>
    <w:rsid w:val="00B46E40"/>
    <w:rsid w:val="00B47BE8"/>
    <w:rsid w:val="00B47DDE"/>
    <w:rsid w:val="00B516EE"/>
    <w:rsid w:val="00B52978"/>
    <w:rsid w:val="00B60400"/>
    <w:rsid w:val="00B607CF"/>
    <w:rsid w:val="00B60A4B"/>
    <w:rsid w:val="00B60A68"/>
    <w:rsid w:val="00B60A6C"/>
    <w:rsid w:val="00B60CC1"/>
    <w:rsid w:val="00B610BB"/>
    <w:rsid w:val="00B61CD1"/>
    <w:rsid w:val="00B6378C"/>
    <w:rsid w:val="00B63CE4"/>
    <w:rsid w:val="00B644DB"/>
    <w:rsid w:val="00B65689"/>
    <w:rsid w:val="00B657E8"/>
    <w:rsid w:val="00B66F14"/>
    <w:rsid w:val="00B674C1"/>
    <w:rsid w:val="00B7030A"/>
    <w:rsid w:val="00B70E17"/>
    <w:rsid w:val="00B72C5A"/>
    <w:rsid w:val="00B7390B"/>
    <w:rsid w:val="00B74321"/>
    <w:rsid w:val="00B74441"/>
    <w:rsid w:val="00B75AD2"/>
    <w:rsid w:val="00B770DA"/>
    <w:rsid w:val="00B77BDF"/>
    <w:rsid w:val="00B82164"/>
    <w:rsid w:val="00B82A30"/>
    <w:rsid w:val="00B83847"/>
    <w:rsid w:val="00B84716"/>
    <w:rsid w:val="00B84854"/>
    <w:rsid w:val="00B8495C"/>
    <w:rsid w:val="00B90C72"/>
    <w:rsid w:val="00B91F1C"/>
    <w:rsid w:val="00B93141"/>
    <w:rsid w:val="00B9389F"/>
    <w:rsid w:val="00B95CEA"/>
    <w:rsid w:val="00B964BD"/>
    <w:rsid w:val="00B976A5"/>
    <w:rsid w:val="00B97B3C"/>
    <w:rsid w:val="00BA1EEC"/>
    <w:rsid w:val="00BA26DB"/>
    <w:rsid w:val="00BA342A"/>
    <w:rsid w:val="00BA4217"/>
    <w:rsid w:val="00BA65B8"/>
    <w:rsid w:val="00BA779D"/>
    <w:rsid w:val="00BB05AC"/>
    <w:rsid w:val="00BB18BE"/>
    <w:rsid w:val="00BB1CAF"/>
    <w:rsid w:val="00BB1D13"/>
    <w:rsid w:val="00BB3136"/>
    <w:rsid w:val="00BB5E02"/>
    <w:rsid w:val="00BB6445"/>
    <w:rsid w:val="00BC0F92"/>
    <w:rsid w:val="00BC1D9D"/>
    <w:rsid w:val="00BC2C20"/>
    <w:rsid w:val="00BC3861"/>
    <w:rsid w:val="00BC3D1A"/>
    <w:rsid w:val="00BC5318"/>
    <w:rsid w:val="00BC5ED5"/>
    <w:rsid w:val="00BC66FA"/>
    <w:rsid w:val="00BC6D58"/>
    <w:rsid w:val="00BC74C7"/>
    <w:rsid w:val="00BD1F4F"/>
    <w:rsid w:val="00BD34DC"/>
    <w:rsid w:val="00BD4A49"/>
    <w:rsid w:val="00BD5F28"/>
    <w:rsid w:val="00BE050F"/>
    <w:rsid w:val="00BE059D"/>
    <w:rsid w:val="00BE0898"/>
    <w:rsid w:val="00BE091A"/>
    <w:rsid w:val="00BE288F"/>
    <w:rsid w:val="00BE29A7"/>
    <w:rsid w:val="00BE2C75"/>
    <w:rsid w:val="00BE36FE"/>
    <w:rsid w:val="00BE58D3"/>
    <w:rsid w:val="00BE5918"/>
    <w:rsid w:val="00BE59B5"/>
    <w:rsid w:val="00BE7F38"/>
    <w:rsid w:val="00BF004F"/>
    <w:rsid w:val="00BF0657"/>
    <w:rsid w:val="00BF0E9D"/>
    <w:rsid w:val="00BF1A41"/>
    <w:rsid w:val="00BF2890"/>
    <w:rsid w:val="00BF4366"/>
    <w:rsid w:val="00BF4629"/>
    <w:rsid w:val="00BF47FD"/>
    <w:rsid w:val="00BF6AC6"/>
    <w:rsid w:val="00C00B07"/>
    <w:rsid w:val="00C02830"/>
    <w:rsid w:val="00C02B02"/>
    <w:rsid w:val="00C02B3A"/>
    <w:rsid w:val="00C03102"/>
    <w:rsid w:val="00C03864"/>
    <w:rsid w:val="00C03B4F"/>
    <w:rsid w:val="00C03C1B"/>
    <w:rsid w:val="00C11673"/>
    <w:rsid w:val="00C11D73"/>
    <w:rsid w:val="00C121F3"/>
    <w:rsid w:val="00C12A7C"/>
    <w:rsid w:val="00C12C09"/>
    <w:rsid w:val="00C1341A"/>
    <w:rsid w:val="00C1385F"/>
    <w:rsid w:val="00C14A59"/>
    <w:rsid w:val="00C15FB7"/>
    <w:rsid w:val="00C207F0"/>
    <w:rsid w:val="00C210A6"/>
    <w:rsid w:val="00C229C7"/>
    <w:rsid w:val="00C23639"/>
    <w:rsid w:val="00C3196A"/>
    <w:rsid w:val="00C324DE"/>
    <w:rsid w:val="00C334F7"/>
    <w:rsid w:val="00C34478"/>
    <w:rsid w:val="00C356E1"/>
    <w:rsid w:val="00C35E7B"/>
    <w:rsid w:val="00C36061"/>
    <w:rsid w:val="00C3631F"/>
    <w:rsid w:val="00C37ED2"/>
    <w:rsid w:val="00C420AA"/>
    <w:rsid w:val="00C43750"/>
    <w:rsid w:val="00C4517F"/>
    <w:rsid w:val="00C456CB"/>
    <w:rsid w:val="00C50DE6"/>
    <w:rsid w:val="00C50E0D"/>
    <w:rsid w:val="00C53F15"/>
    <w:rsid w:val="00C542DC"/>
    <w:rsid w:val="00C54C4D"/>
    <w:rsid w:val="00C559C5"/>
    <w:rsid w:val="00C55C49"/>
    <w:rsid w:val="00C55FB9"/>
    <w:rsid w:val="00C570A6"/>
    <w:rsid w:val="00C57E1B"/>
    <w:rsid w:val="00C57E5E"/>
    <w:rsid w:val="00C60A75"/>
    <w:rsid w:val="00C6315B"/>
    <w:rsid w:val="00C6500D"/>
    <w:rsid w:val="00C65F38"/>
    <w:rsid w:val="00C66C5A"/>
    <w:rsid w:val="00C67984"/>
    <w:rsid w:val="00C67DEB"/>
    <w:rsid w:val="00C70ABE"/>
    <w:rsid w:val="00C70CB1"/>
    <w:rsid w:val="00C7131C"/>
    <w:rsid w:val="00C7162A"/>
    <w:rsid w:val="00C72541"/>
    <w:rsid w:val="00C764CA"/>
    <w:rsid w:val="00C76B07"/>
    <w:rsid w:val="00C8160B"/>
    <w:rsid w:val="00C81895"/>
    <w:rsid w:val="00C8220C"/>
    <w:rsid w:val="00C828D3"/>
    <w:rsid w:val="00C841FE"/>
    <w:rsid w:val="00C855CF"/>
    <w:rsid w:val="00C8718A"/>
    <w:rsid w:val="00C87932"/>
    <w:rsid w:val="00C87C4D"/>
    <w:rsid w:val="00C9246C"/>
    <w:rsid w:val="00C9503F"/>
    <w:rsid w:val="00C96066"/>
    <w:rsid w:val="00C9624B"/>
    <w:rsid w:val="00C964FF"/>
    <w:rsid w:val="00C9681A"/>
    <w:rsid w:val="00C97672"/>
    <w:rsid w:val="00C9787E"/>
    <w:rsid w:val="00CA1445"/>
    <w:rsid w:val="00CA28D1"/>
    <w:rsid w:val="00CA307E"/>
    <w:rsid w:val="00CA33FF"/>
    <w:rsid w:val="00CA3B26"/>
    <w:rsid w:val="00CA3FF6"/>
    <w:rsid w:val="00CA4EBC"/>
    <w:rsid w:val="00CA523E"/>
    <w:rsid w:val="00CA52CC"/>
    <w:rsid w:val="00CA6345"/>
    <w:rsid w:val="00CA735A"/>
    <w:rsid w:val="00CB0057"/>
    <w:rsid w:val="00CB092D"/>
    <w:rsid w:val="00CB0B08"/>
    <w:rsid w:val="00CB0C9C"/>
    <w:rsid w:val="00CB27AA"/>
    <w:rsid w:val="00CB4525"/>
    <w:rsid w:val="00CB4E54"/>
    <w:rsid w:val="00CB5425"/>
    <w:rsid w:val="00CB5688"/>
    <w:rsid w:val="00CB5A98"/>
    <w:rsid w:val="00CB670B"/>
    <w:rsid w:val="00CB6D80"/>
    <w:rsid w:val="00CB7184"/>
    <w:rsid w:val="00CB72E1"/>
    <w:rsid w:val="00CC040C"/>
    <w:rsid w:val="00CC3CDA"/>
    <w:rsid w:val="00CC3D8A"/>
    <w:rsid w:val="00CC48E5"/>
    <w:rsid w:val="00CC4A46"/>
    <w:rsid w:val="00CC4F5B"/>
    <w:rsid w:val="00CC5447"/>
    <w:rsid w:val="00CC57DF"/>
    <w:rsid w:val="00CC5D5F"/>
    <w:rsid w:val="00CC7532"/>
    <w:rsid w:val="00CC78E8"/>
    <w:rsid w:val="00CD0EBD"/>
    <w:rsid w:val="00CD226A"/>
    <w:rsid w:val="00CD2B07"/>
    <w:rsid w:val="00CD4CAF"/>
    <w:rsid w:val="00CD53D8"/>
    <w:rsid w:val="00CD67B5"/>
    <w:rsid w:val="00CE0D87"/>
    <w:rsid w:val="00CE18F2"/>
    <w:rsid w:val="00CE26E7"/>
    <w:rsid w:val="00CE3EC3"/>
    <w:rsid w:val="00CE4343"/>
    <w:rsid w:val="00CE4BA9"/>
    <w:rsid w:val="00CE5D8C"/>
    <w:rsid w:val="00CF206B"/>
    <w:rsid w:val="00CF32D0"/>
    <w:rsid w:val="00CF46EC"/>
    <w:rsid w:val="00CF4A1B"/>
    <w:rsid w:val="00CF5D16"/>
    <w:rsid w:val="00CF66A5"/>
    <w:rsid w:val="00CF7458"/>
    <w:rsid w:val="00CF79F8"/>
    <w:rsid w:val="00D01264"/>
    <w:rsid w:val="00D02A3B"/>
    <w:rsid w:val="00D02FD1"/>
    <w:rsid w:val="00D03E13"/>
    <w:rsid w:val="00D03EC7"/>
    <w:rsid w:val="00D03F93"/>
    <w:rsid w:val="00D04F9A"/>
    <w:rsid w:val="00D054F6"/>
    <w:rsid w:val="00D078B7"/>
    <w:rsid w:val="00D104AB"/>
    <w:rsid w:val="00D1052D"/>
    <w:rsid w:val="00D1059A"/>
    <w:rsid w:val="00D10D04"/>
    <w:rsid w:val="00D13A43"/>
    <w:rsid w:val="00D15B63"/>
    <w:rsid w:val="00D1692D"/>
    <w:rsid w:val="00D16A59"/>
    <w:rsid w:val="00D17011"/>
    <w:rsid w:val="00D20E9C"/>
    <w:rsid w:val="00D22680"/>
    <w:rsid w:val="00D22BEF"/>
    <w:rsid w:val="00D262A9"/>
    <w:rsid w:val="00D26E2D"/>
    <w:rsid w:val="00D275C6"/>
    <w:rsid w:val="00D27DAB"/>
    <w:rsid w:val="00D30956"/>
    <w:rsid w:val="00D30D74"/>
    <w:rsid w:val="00D31694"/>
    <w:rsid w:val="00D3283B"/>
    <w:rsid w:val="00D33595"/>
    <w:rsid w:val="00D33FFD"/>
    <w:rsid w:val="00D35567"/>
    <w:rsid w:val="00D368CD"/>
    <w:rsid w:val="00D36B25"/>
    <w:rsid w:val="00D36E8A"/>
    <w:rsid w:val="00D371CA"/>
    <w:rsid w:val="00D41072"/>
    <w:rsid w:val="00D4319E"/>
    <w:rsid w:val="00D43831"/>
    <w:rsid w:val="00D44D04"/>
    <w:rsid w:val="00D45F48"/>
    <w:rsid w:val="00D5132B"/>
    <w:rsid w:val="00D51BA6"/>
    <w:rsid w:val="00D51C51"/>
    <w:rsid w:val="00D53778"/>
    <w:rsid w:val="00D540D8"/>
    <w:rsid w:val="00D57C19"/>
    <w:rsid w:val="00D602B6"/>
    <w:rsid w:val="00D605C3"/>
    <w:rsid w:val="00D634D2"/>
    <w:rsid w:val="00D642F8"/>
    <w:rsid w:val="00D64876"/>
    <w:rsid w:val="00D65F46"/>
    <w:rsid w:val="00D66711"/>
    <w:rsid w:val="00D66CC2"/>
    <w:rsid w:val="00D71E75"/>
    <w:rsid w:val="00D72201"/>
    <w:rsid w:val="00D733D1"/>
    <w:rsid w:val="00D75113"/>
    <w:rsid w:val="00D75612"/>
    <w:rsid w:val="00D75EB8"/>
    <w:rsid w:val="00D76548"/>
    <w:rsid w:val="00D77FDF"/>
    <w:rsid w:val="00D80B5B"/>
    <w:rsid w:val="00D81372"/>
    <w:rsid w:val="00D81D87"/>
    <w:rsid w:val="00D82CEC"/>
    <w:rsid w:val="00D83279"/>
    <w:rsid w:val="00D84D4B"/>
    <w:rsid w:val="00D85C6E"/>
    <w:rsid w:val="00D85E69"/>
    <w:rsid w:val="00D861CF"/>
    <w:rsid w:val="00D86510"/>
    <w:rsid w:val="00D867E5"/>
    <w:rsid w:val="00D8758A"/>
    <w:rsid w:val="00D95F2D"/>
    <w:rsid w:val="00D970B2"/>
    <w:rsid w:val="00DA0AC0"/>
    <w:rsid w:val="00DA0C24"/>
    <w:rsid w:val="00DA284A"/>
    <w:rsid w:val="00DA2A9E"/>
    <w:rsid w:val="00DA3E91"/>
    <w:rsid w:val="00DA5605"/>
    <w:rsid w:val="00DA5CE2"/>
    <w:rsid w:val="00DA7624"/>
    <w:rsid w:val="00DB20C4"/>
    <w:rsid w:val="00DB3D60"/>
    <w:rsid w:val="00DB40A0"/>
    <w:rsid w:val="00DB40DB"/>
    <w:rsid w:val="00DB454F"/>
    <w:rsid w:val="00DB4AB2"/>
    <w:rsid w:val="00DB7004"/>
    <w:rsid w:val="00DC04F7"/>
    <w:rsid w:val="00DC6736"/>
    <w:rsid w:val="00DC75D2"/>
    <w:rsid w:val="00DC7BF8"/>
    <w:rsid w:val="00DD018B"/>
    <w:rsid w:val="00DD34B2"/>
    <w:rsid w:val="00DD55FC"/>
    <w:rsid w:val="00DD5DE0"/>
    <w:rsid w:val="00DD69C3"/>
    <w:rsid w:val="00DD6BBF"/>
    <w:rsid w:val="00DE1068"/>
    <w:rsid w:val="00DE13F6"/>
    <w:rsid w:val="00DE2B22"/>
    <w:rsid w:val="00DE3BDD"/>
    <w:rsid w:val="00DE45FF"/>
    <w:rsid w:val="00DE4C56"/>
    <w:rsid w:val="00DE52CE"/>
    <w:rsid w:val="00DE575E"/>
    <w:rsid w:val="00DE7F9E"/>
    <w:rsid w:val="00DF0A75"/>
    <w:rsid w:val="00DF186B"/>
    <w:rsid w:val="00DF36E5"/>
    <w:rsid w:val="00DF3E08"/>
    <w:rsid w:val="00DF3FB5"/>
    <w:rsid w:val="00DF4118"/>
    <w:rsid w:val="00DF455B"/>
    <w:rsid w:val="00DF5297"/>
    <w:rsid w:val="00DF616B"/>
    <w:rsid w:val="00DF65FD"/>
    <w:rsid w:val="00DF70DB"/>
    <w:rsid w:val="00E00B4A"/>
    <w:rsid w:val="00E01825"/>
    <w:rsid w:val="00E030BF"/>
    <w:rsid w:val="00E030D3"/>
    <w:rsid w:val="00E04391"/>
    <w:rsid w:val="00E0518D"/>
    <w:rsid w:val="00E055BD"/>
    <w:rsid w:val="00E05D54"/>
    <w:rsid w:val="00E06064"/>
    <w:rsid w:val="00E11143"/>
    <w:rsid w:val="00E11CAA"/>
    <w:rsid w:val="00E12B54"/>
    <w:rsid w:val="00E12DA6"/>
    <w:rsid w:val="00E12E29"/>
    <w:rsid w:val="00E13A6E"/>
    <w:rsid w:val="00E15AD5"/>
    <w:rsid w:val="00E16B91"/>
    <w:rsid w:val="00E2007D"/>
    <w:rsid w:val="00E21575"/>
    <w:rsid w:val="00E2252F"/>
    <w:rsid w:val="00E2353F"/>
    <w:rsid w:val="00E23954"/>
    <w:rsid w:val="00E23970"/>
    <w:rsid w:val="00E23F3E"/>
    <w:rsid w:val="00E23F69"/>
    <w:rsid w:val="00E24F96"/>
    <w:rsid w:val="00E25AC3"/>
    <w:rsid w:val="00E25B3D"/>
    <w:rsid w:val="00E25FDA"/>
    <w:rsid w:val="00E26122"/>
    <w:rsid w:val="00E27007"/>
    <w:rsid w:val="00E2703E"/>
    <w:rsid w:val="00E3126A"/>
    <w:rsid w:val="00E31C01"/>
    <w:rsid w:val="00E32392"/>
    <w:rsid w:val="00E32D13"/>
    <w:rsid w:val="00E332C2"/>
    <w:rsid w:val="00E33C4D"/>
    <w:rsid w:val="00E367DE"/>
    <w:rsid w:val="00E402FB"/>
    <w:rsid w:val="00E4082F"/>
    <w:rsid w:val="00E4110C"/>
    <w:rsid w:val="00E41579"/>
    <w:rsid w:val="00E41BDD"/>
    <w:rsid w:val="00E439C5"/>
    <w:rsid w:val="00E43F27"/>
    <w:rsid w:val="00E443BC"/>
    <w:rsid w:val="00E44C19"/>
    <w:rsid w:val="00E45150"/>
    <w:rsid w:val="00E4581F"/>
    <w:rsid w:val="00E52EAD"/>
    <w:rsid w:val="00E533C8"/>
    <w:rsid w:val="00E5394A"/>
    <w:rsid w:val="00E545BC"/>
    <w:rsid w:val="00E5509A"/>
    <w:rsid w:val="00E560AC"/>
    <w:rsid w:val="00E568C5"/>
    <w:rsid w:val="00E601EC"/>
    <w:rsid w:val="00E60601"/>
    <w:rsid w:val="00E60960"/>
    <w:rsid w:val="00E60977"/>
    <w:rsid w:val="00E60AB1"/>
    <w:rsid w:val="00E6148F"/>
    <w:rsid w:val="00E61838"/>
    <w:rsid w:val="00E61F62"/>
    <w:rsid w:val="00E62D47"/>
    <w:rsid w:val="00E63F2A"/>
    <w:rsid w:val="00E653F6"/>
    <w:rsid w:val="00E7193F"/>
    <w:rsid w:val="00E7197D"/>
    <w:rsid w:val="00E71BD4"/>
    <w:rsid w:val="00E71C9D"/>
    <w:rsid w:val="00E71F8F"/>
    <w:rsid w:val="00E7623B"/>
    <w:rsid w:val="00E76577"/>
    <w:rsid w:val="00E770BE"/>
    <w:rsid w:val="00E81E99"/>
    <w:rsid w:val="00E831F1"/>
    <w:rsid w:val="00E83FF2"/>
    <w:rsid w:val="00E842A4"/>
    <w:rsid w:val="00E851D6"/>
    <w:rsid w:val="00E8564D"/>
    <w:rsid w:val="00E85EEB"/>
    <w:rsid w:val="00E86B2F"/>
    <w:rsid w:val="00E86EF9"/>
    <w:rsid w:val="00E874B8"/>
    <w:rsid w:val="00E87BFA"/>
    <w:rsid w:val="00E90321"/>
    <w:rsid w:val="00E909AF"/>
    <w:rsid w:val="00E92CF0"/>
    <w:rsid w:val="00E92D1A"/>
    <w:rsid w:val="00E92ECF"/>
    <w:rsid w:val="00E93D6E"/>
    <w:rsid w:val="00E9692A"/>
    <w:rsid w:val="00EA3913"/>
    <w:rsid w:val="00EA464A"/>
    <w:rsid w:val="00EA4BC8"/>
    <w:rsid w:val="00EA531B"/>
    <w:rsid w:val="00EA5441"/>
    <w:rsid w:val="00EA62DB"/>
    <w:rsid w:val="00EA68CE"/>
    <w:rsid w:val="00EB326F"/>
    <w:rsid w:val="00EB42B2"/>
    <w:rsid w:val="00EB502E"/>
    <w:rsid w:val="00EB59EB"/>
    <w:rsid w:val="00EB6179"/>
    <w:rsid w:val="00EB6579"/>
    <w:rsid w:val="00EB6F62"/>
    <w:rsid w:val="00EC1D1F"/>
    <w:rsid w:val="00EC216C"/>
    <w:rsid w:val="00EC25A2"/>
    <w:rsid w:val="00EC27F3"/>
    <w:rsid w:val="00EC38CD"/>
    <w:rsid w:val="00EC521F"/>
    <w:rsid w:val="00EC6440"/>
    <w:rsid w:val="00ED0442"/>
    <w:rsid w:val="00ED0D0B"/>
    <w:rsid w:val="00ED1425"/>
    <w:rsid w:val="00ED3D21"/>
    <w:rsid w:val="00ED499F"/>
    <w:rsid w:val="00ED52C8"/>
    <w:rsid w:val="00ED562F"/>
    <w:rsid w:val="00ED5977"/>
    <w:rsid w:val="00ED6613"/>
    <w:rsid w:val="00ED6969"/>
    <w:rsid w:val="00EE0C53"/>
    <w:rsid w:val="00EE16DB"/>
    <w:rsid w:val="00EE2271"/>
    <w:rsid w:val="00EE2AA4"/>
    <w:rsid w:val="00EE3A7F"/>
    <w:rsid w:val="00EE3C49"/>
    <w:rsid w:val="00EE3EEA"/>
    <w:rsid w:val="00EE4F32"/>
    <w:rsid w:val="00EE680B"/>
    <w:rsid w:val="00EF2254"/>
    <w:rsid w:val="00EF3997"/>
    <w:rsid w:val="00EF3B48"/>
    <w:rsid w:val="00EF3F70"/>
    <w:rsid w:val="00EF5F5F"/>
    <w:rsid w:val="00EF60B8"/>
    <w:rsid w:val="00EF7C36"/>
    <w:rsid w:val="00F00ABC"/>
    <w:rsid w:val="00F01650"/>
    <w:rsid w:val="00F0268B"/>
    <w:rsid w:val="00F026F0"/>
    <w:rsid w:val="00F04201"/>
    <w:rsid w:val="00F0445A"/>
    <w:rsid w:val="00F04B22"/>
    <w:rsid w:val="00F0556C"/>
    <w:rsid w:val="00F063A1"/>
    <w:rsid w:val="00F06D8E"/>
    <w:rsid w:val="00F0717C"/>
    <w:rsid w:val="00F07764"/>
    <w:rsid w:val="00F077DA"/>
    <w:rsid w:val="00F125C4"/>
    <w:rsid w:val="00F12AE9"/>
    <w:rsid w:val="00F12F00"/>
    <w:rsid w:val="00F147ED"/>
    <w:rsid w:val="00F1693D"/>
    <w:rsid w:val="00F16D1F"/>
    <w:rsid w:val="00F1735A"/>
    <w:rsid w:val="00F17569"/>
    <w:rsid w:val="00F17E5D"/>
    <w:rsid w:val="00F215A5"/>
    <w:rsid w:val="00F23218"/>
    <w:rsid w:val="00F23503"/>
    <w:rsid w:val="00F23847"/>
    <w:rsid w:val="00F239F5"/>
    <w:rsid w:val="00F24AA0"/>
    <w:rsid w:val="00F254B3"/>
    <w:rsid w:val="00F25604"/>
    <w:rsid w:val="00F2564B"/>
    <w:rsid w:val="00F25691"/>
    <w:rsid w:val="00F267B2"/>
    <w:rsid w:val="00F26848"/>
    <w:rsid w:val="00F26CCF"/>
    <w:rsid w:val="00F26D83"/>
    <w:rsid w:val="00F2778A"/>
    <w:rsid w:val="00F3022C"/>
    <w:rsid w:val="00F304C8"/>
    <w:rsid w:val="00F30E2E"/>
    <w:rsid w:val="00F32865"/>
    <w:rsid w:val="00F328CA"/>
    <w:rsid w:val="00F33D4D"/>
    <w:rsid w:val="00F343C6"/>
    <w:rsid w:val="00F36E67"/>
    <w:rsid w:val="00F40F4A"/>
    <w:rsid w:val="00F419EB"/>
    <w:rsid w:val="00F43435"/>
    <w:rsid w:val="00F43B89"/>
    <w:rsid w:val="00F44C18"/>
    <w:rsid w:val="00F47BD7"/>
    <w:rsid w:val="00F5016C"/>
    <w:rsid w:val="00F51AEB"/>
    <w:rsid w:val="00F52319"/>
    <w:rsid w:val="00F52545"/>
    <w:rsid w:val="00F526D7"/>
    <w:rsid w:val="00F52A93"/>
    <w:rsid w:val="00F52C8C"/>
    <w:rsid w:val="00F55DF1"/>
    <w:rsid w:val="00F55F18"/>
    <w:rsid w:val="00F60058"/>
    <w:rsid w:val="00F61280"/>
    <w:rsid w:val="00F61393"/>
    <w:rsid w:val="00F6356C"/>
    <w:rsid w:val="00F63F75"/>
    <w:rsid w:val="00F641FC"/>
    <w:rsid w:val="00F64635"/>
    <w:rsid w:val="00F64DE7"/>
    <w:rsid w:val="00F65EA5"/>
    <w:rsid w:val="00F665F1"/>
    <w:rsid w:val="00F67283"/>
    <w:rsid w:val="00F672D0"/>
    <w:rsid w:val="00F72972"/>
    <w:rsid w:val="00F7299C"/>
    <w:rsid w:val="00F729BA"/>
    <w:rsid w:val="00F72B15"/>
    <w:rsid w:val="00F7538C"/>
    <w:rsid w:val="00F76AFA"/>
    <w:rsid w:val="00F773A9"/>
    <w:rsid w:val="00F80192"/>
    <w:rsid w:val="00F80724"/>
    <w:rsid w:val="00F807C8"/>
    <w:rsid w:val="00F827A5"/>
    <w:rsid w:val="00F83CD3"/>
    <w:rsid w:val="00F842BD"/>
    <w:rsid w:val="00F84BD8"/>
    <w:rsid w:val="00F86B25"/>
    <w:rsid w:val="00F90B35"/>
    <w:rsid w:val="00F93239"/>
    <w:rsid w:val="00F94633"/>
    <w:rsid w:val="00F94AC1"/>
    <w:rsid w:val="00F9596E"/>
    <w:rsid w:val="00F9699D"/>
    <w:rsid w:val="00F97D51"/>
    <w:rsid w:val="00FA03A6"/>
    <w:rsid w:val="00FA0A4B"/>
    <w:rsid w:val="00FA147A"/>
    <w:rsid w:val="00FA222F"/>
    <w:rsid w:val="00FA24D6"/>
    <w:rsid w:val="00FA287D"/>
    <w:rsid w:val="00FA33FD"/>
    <w:rsid w:val="00FA3B5E"/>
    <w:rsid w:val="00FA4A55"/>
    <w:rsid w:val="00FA51CF"/>
    <w:rsid w:val="00FA5A02"/>
    <w:rsid w:val="00FA70F6"/>
    <w:rsid w:val="00FB0680"/>
    <w:rsid w:val="00FB0FBE"/>
    <w:rsid w:val="00FB208C"/>
    <w:rsid w:val="00FB220E"/>
    <w:rsid w:val="00FB3896"/>
    <w:rsid w:val="00FB473D"/>
    <w:rsid w:val="00FB5216"/>
    <w:rsid w:val="00FB6103"/>
    <w:rsid w:val="00FB62F1"/>
    <w:rsid w:val="00FB76D8"/>
    <w:rsid w:val="00FC0896"/>
    <w:rsid w:val="00FC092E"/>
    <w:rsid w:val="00FC25B4"/>
    <w:rsid w:val="00FC4868"/>
    <w:rsid w:val="00FC6BFA"/>
    <w:rsid w:val="00FC74A1"/>
    <w:rsid w:val="00FC7A4D"/>
    <w:rsid w:val="00FD087D"/>
    <w:rsid w:val="00FD16D0"/>
    <w:rsid w:val="00FD2487"/>
    <w:rsid w:val="00FD2536"/>
    <w:rsid w:val="00FD35E0"/>
    <w:rsid w:val="00FD4688"/>
    <w:rsid w:val="00FD691B"/>
    <w:rsid w:val="00FD73C3"/>
    <w:rsid w:val="00FE0082"/>
    <w:rsid w:val="00FE12D4"/>
    <w:rsid w:val="00FE2A75"/>
    <w:rsid w:val="00FE2B94"/>
    <w:rsid w:val="00FE7FFD"/>
    <w:rsid w:val="00FF090E"/>
    <w:rsid w:val="00FF1EDF"/>
    <w:rsid w:val="00FF3F3D"/>
    <w:rsid w:val="00FF51CD"/>
    <w:rsid w:val="00FF561F"/>
    <w:rsid w:val="00FF74F8"/>
    <w:rsid w:val="00FF7525"/>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1B0A"/>
    <w:rPr>
      <w:sz w:val="24"/>
      <w:szCs w:val="24"/>
      <w:lang w:val="en-US" w:eastAsia="en-US"/>
    </w:rPr>
  </w:style>
  <w:style w:type="paragraph" w:styleId="Heading1">
    <w:name w:val="heading 1"/>
    <w:basedOn w:val="Normal"/>
    <w:next w:val="Normal"/>
    <w:link w:val="Heading1Char"/>
    <w:qFormat/>
    <w:rsid w:val="004D4C0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C15FB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0D4D4C"/>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4D4C04"/>
  </w:style>
  <w:style w:type="character" w:styleId="Hyperlink">
    <w:name w:val="Hyperlink"/>
    <w:basedOn w:val="DefaultParagraphFont"/>
    <w:uiPriority w:val="99"/>
    <w:rsid w:val="004D4C04"/>
    <w:rPr>
      <w:color w:val="0000FF"/>
      <w:u w:val="single"/>
    </w:rPr>
  </w:style>
  <w:style w:type="paragraph" w:styleId="Header">
    <w:name w:val="header"/>
    <w:basedOn w:val="Normal"/>
    <w:rsid w:val="004C4AA4"/>
    <w:pPr>
      <w:tabs>
        <w:tab w:val="center" w:pos="4320"/>
        <w:tab w:val="right" w:pos="8640"/>
      </w:tabs>
    </w:pPr>
  </w:style>
  <w:style w:type="paragraph" w:styleId="Footer">
    <w:name w:val="footer"/>
    <w:basedOn w:val="Normal"/>
    <w:link w:val="FooterChar"/>
    <w:uiPriority w:val="99"/>
    <w:rsid w:val="004C4AA4"/>
    <w:pPr>
      <w:tabs>
        <w:tab w:val="center" w:pos="4320"/>
        <w:tab w:val="right" w:pos="8640"/>
      </w:tabs>
    </w:pPr>
  </w:style>
  <w:style w:type="character" w:styleId="PageNumber">
    <w:name w:val="page number"/>
    <w:basedOn w:val="DefaultParagraphFont"/>
    <w:rsid w:val="004C4AA4"/>
  </w:style>
  <w:style w:type="paragraph" w:styleId="Caption">
    <w:name w:val="caption"/>
    <w:basedOn w:val="Normal"/>
    <w:next w:val="Normal"/>
    <w:qFormat/>
    <w:rsid w:val="001A6DDF"/>
    <w:pPr>
      <w:spacing w:before="120" w:after="120"/>
    </w:pPr>
    <w:rPr>
      <w:rFonts w:ascii="Arial" w:hAnsi="Arial"/>
      <w:sz w:val="20"/>
      <w:szCs w:val="20"/>
      <w:lang w:val="en-GB"/>
    </w:rPr>
  </w:style>
  <w:style w:type="paragraph" w:styleId="BodyText2">
    <w:name w:val="Body Text 2"/>
    <w:basedOn w:val="Normal"/>
    <w:link w:val="BodyText2Char"/>
    <w:rsid w:val="001A6DDF"/>
    <w:pPr>
      <w:spacing w:before="120" w:after="120"/>
    </w:pPr>
    <w:rPr>
      <w:rFonts w:ascii="Arial" w:hAnsi="Arial"/>
      <w:sz w:val="44"/>
      <w:szCs w:val="20"/>
    </w:rPr>
  </w:style>
  <w:style w:type="paragraph" w:customStyle="1" w:styleId="ARR-normalbody">
    <w:name w:val="ARR - normal body"/>
    <w:basedOn w:val="BodyText"/>
    <w:autoRedefine/>
    <w:rsid w:val="000C2942"/>
    <w:pPr>
      <w:tabs>
        <w:tab w:val="left" w:pos="450"/>
      </w:tabs>
      <w:spacing w:before="120" w:after="240" w:line="360" w:lineRule="auto"/>
      <w:ind w:left="450"/>
      <w:jc w:val="both"/>
    </w:pPr>
    <w:rPr>
      <w:rFonts w:ascii="Arial" w:hAnsi="Arial" w:cs="Arial"/>
      <w:sz w:val="22"/>
      <w:szCs w:val="22"/>
      <w:lang w:val="en-GB"/>
    </w:rPr>
  </w:style>
  <w:style w:type="paragraph" w:styleId="BodyText">
    <w:name w:val="Body Text"/>
    <w:basedOn w:val="Normal"/>
    <w:link w:val="BodyTextChar"/>
    <w:rsid w:val="001A6DDF"/>
    <w:pPr>
      <w:spacing w:after="120"/>
    </w:pPr>
  </w:style>
  <w:style w:type="table" w:styleId="TableGrid">
    <w:name w:val="Table Grid"/>
    <w:basedOn w:val="TableNormal"/>
    <w:uiPriority w:val="59"/>
    <w:rsid w:val="000225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5">
    <w:name w:val="xl55"/>
    <w:basedOn w:val="Normal"/>
    <w:rsid w:val="00251B0E"/>
    <w:pPr>
      <w:pBdr>
        <w:right w:val="single" w:sz="8" w:space="0" w:color="auto"/>
      </w:pBdr>
      <w:spacing w:before="100" w:beforeAutospacing="1" w:after="100" w:afterAutospacing="1"/>
      <w:jc w:val="both"/>
    </w:pPr>
    <w:rPr>
      <w:rFonts w:ascii="Arial" w:eastAsia="Arial Unicode MS" w:hAnsi="Arial" w:cs="Arial"/>
      <w:sz w:val="20"/>
      <w:szCs w:val="20"/>
    </w:rPr>
  </w:style>
  <w:style w:type="table" w:styleId="TableGrid8">
    <w:name w:val="Table Grid 8"/>
    <w:aliases w:val="Table Grid s"/>
    <w:basedOn w:val="TableNormal"/>
    <w:rsid w:val="004E00CB"/>
    <w:pPr>
      <w:spacing w:before="120" w:after="12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15" w:type="dxa"/>
        <w:bottom w:w="0" w:type="dxa"/>
        <w:right w:w="115" w:type="dxa"/>
      </w:tblCellMar>
    </w:tblPr>
    <w:tcPr>
      <w:shd w:val="clear" w:color="auto" w:fill="FFFFFF"/>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ListNumber">
    <w:name w:val="List Number"/>
    <w:aliases w:val="List Number Char Char Char Char Char1,List Number Char Char Char Char Char Char Char Char Char Char Char Char Char Char Char Char Char Char Char Char Char1,List Number11"/>
    <w:basedOn w:val="Normal"/>
    <w:rsid w:val="005924C0"/>
    <w:pPr>
      <w:tabs>
        <w:tab w:val="num" w:pos="360"/>
        <w:tab w:val="left" w:pos="720"/>
      </w:tabs>
      <w:spacing w:before="120" w:after="180"/>
      <w:ind w:left="360" w:hanging="360"/>
    </w:pPr>
    <w:rPr>
      <w:rFonts w:ascii="Arial" w:hAnsi="Arial"/>
      <w:sz w:val="20"/>
      <w:szCs w:val="20"/>
      <w:lang w:val="en-GB"/>
    </w:rPr>
  </w:style>
  <w:style w:type="character" w:customStyle="1" w:styleId="ListNumber2">
    <w:name w:val="List Number2"/>
    <w:aliases w:val="List Number Char Char Char Char Char11,List Number Char Char Char Char Char Char Char Char Char Char Char Char Char Char Char Char Char Char Char Char Char11,List Number11 Char"/>
    <w:basedOn w:val="DefaultParagraphFont"/>
    <w:rsid w:val="005924C0"/>
    <w:rPr>
      <w:rFonts w:ascii="Arial" w:hAnsi="Arial"/>
      <w:lang w:val="en-GB" w:eastAsia="en-US" w:bidi="ar-SA"/>
    </w:rPr>
  </w:style>
  <w:style w:type="paragraph" w:customStyle="1" w:styleId="PwcUttaranchalNormalTextFinalCharChar">
    <w:name w:val="Pwc Uttaranchal Normal Text Final Char Char"/>
    <w:basedOn w:val="BodyText"/>
    <w:rsid w:val="002A45DF"/>
    <w:pPr>
      <w:tabs>
        <w:tab w:val="left" w:pos="720"/>
        <w:tab w:val="left" w:pos="2992"/>
        <w:tab w:val="left" w:pos="3060"/>
        <w:tab w:val="left" w:pos="3179"/>
      </w:tabs>
      <w:spacing w:after="240" w:line="360" w:lineRule="auto"/>
      <w:jc w:val="both"/>
    </w:pPr>
    <w:rPr>
      <w:rFonts w:ascii="Arial" w:hAnsi="Arial" w:cs="Arial"/>
    </w:rPr>
  </w:style>
  <w:style w:type="paragraph" w:styleId="BalloonText">
    <w:name w:val="Balloon Text"/>
    <w:basedOn w:val="Normal"/>
    <w:link w:val="BalloonTextChar"/>
    <w:uiPriority w:val="99"/>
    <w:semiHidden/>
    <w:rsid w:val="00131CCB"/>
    <w:rPr>
      <w:rFonts w:ascii="Tahoma" w:hAnsi="Tahoma" w:cs="Tahoma"/>
      <w:sz w:val="16"/>
      <w:szCs w:val="16"/>
    </w:rPr>
  </w:style>
  <w:style w:type="paragraph" w:styleId="Title">
    <w:name w:val="Title"/>
    <w:basedOn w:val="Normal"/>
    <w:qFormat/>
    <w:rsid w:val="00F72972"/>
    <w:pPr>
      <w:spacing w:before="240" w:after="60"/>
      <w:jc w:val="center"/>
      <w:outlineLvl w:val="0"/>
    </w:pPr>
    <w:rPr>
      <w:rFonts w:ascii="Arial" w:hAnsi="Arial"/>
      <w:b/>
      <w:kern w:val="28"/>
      <w:sz w:val="32"/>
      <w:szCs w:val="20"/>
      <w:lang w:val="en-GB"/>
    </w:rPr>
  </w:style>
  <w:style w:type="character" w:customStyle="1" w:styleId="Heading2Char">
    <w:name w:val="Heading 2 Char"/>
    <w:basedOn w:val="DefaultParagraphFont"/>
    <w:link w:val="Heading2"/>
    <w:rsid w:val="00D054F6"/>
    <w:rPr>
      <w:rFonts w:ascii="Arial" w:hAnsi="Arial" w:cs="Arial"/>
      <w:b/>
      <w:bCs/>
      <w:i/>
      <w:iCs/>
      <w:sz w:val="28"/>
      <w:szCs w:val="28"/>
      <w:lang w:val="en-US" w:eastAsia="en-US" w:bidi="ar-SA"/>
    </w:rPr>
  </w:style>
  <w:style w:type="character" w:styleId="FollowedHyperlink">
    <w:name w:val="FollowedHyperlink"/>
    <w:basedOn w:val="DefaultParagraphFont"/>
    <w:rsid w:val="004D5303"/>
    <w:rPr>
      <w:color w:val="800080"/>
      <w:u w:val="single"/>
    </w:rPr>
  </w:style>
  <w:style w:type="paragraph" w:styleId="NormalWeb">
    <w:name w:val="Normal (Web)"/>
    <w:basedOn w:val="Normal"/>
    <w:uiPriority w:val="99"/>
    <w:rsid w:val="004D5303"/>
    <w:pPr>
      <w:spacing w:before="100" w:beforeAutospacing="1" w:after="100" w:afterAutospacing="1"/>
    </w:pPr>
  </w:style>
  <w:style w:type="paragraph" w:styleId="TOC2">
    <w:name w:val="toc 2"/>
    <w:basedOn w:val="Normal"/>
    <w:next w:val="Normal"/>
    <w:autoRedefine/>
    <w:uiPriority w:val="39"/>
    <w:rsid w:val="00401F48"/>
    <w:pPr>
      <w:ind w:left="240"/>
    </w:pPr>
  </w:style>
  <w:style w:type="paragraph" w:styleId="TOC3">
    <w:name w:val="toc 3"/>
    <w:basedOn w:val="Normal"/>
    <w:next w:val="Normal"/>
    <w:autoRedefine/>
    <w:uiPriority w:val="39"/>
    <w:rsid w:val="00401F48"/>
    <w:pPr>
      <w:ind w:left="480"/>
    </w:pPr>
  </w:style>
  <w:style w:type="paragraph" w:styleId="ListParagraph">
    <w:name w:val="List Paragraph"/>
    <w:basedOn w:val="Normal"/>
    <w:link w:val="ListParagraphChar"/>
    <w:uiPriority w:val="34"/>
    <w:qFormat/>
    <w:rsid w:val="00FB3896"/>
    <w:pPr>
      <w:spacing w:after="200" w:line="276" w:lineRule="auto"/>
      <w:ind w:left="720"/>
      <w:contextualSpacing/>
    </w:pPr>
    <w:rPr>
      <w:rFonts w:ascii="Calibri" w:eastAsia="Calibri" w:hAnsi="Calibri"/>
      <w:sz w:val="22"/>
      <w:szCs w:val="22"/>
    </w:rPr>
  </w:style>
  <w:style w:type="paragraph" w:customStyle="1" w:styleId="Level11">
    <w:name w:val="Level 1.1"/>
    <w:aliases w:val="Reports"/>
    <w:basedOn w:val="Normal"/>
    <w:next w:val="Normal"/>
    <w:rsid w:val="00477C2E"/>
    <w:pPr>
      <w:autoSpaceDE w:val="0"/>
      <w:autoSpaceDN w:val="0"/>
      <w:adjustRightInd w:val="0"/>
    </w:pPr>
    <w:rPr>
      <w:rFonts w:ascii="HFKACP+TimesNewRoman" w:hAnsi="HFKACP+TimesNewRoman"/>
      <w:lang w:val="en-IN" w:eastAsia="en-IN"/>
    </w:rPr>
  </w:style>
  <w:style w:type="paragraph" w:styleId="NoSpacing">
    <w:name w:val="No Spacing"/>
    <w:qFormat/>
    <w:rsid w:val="008307B8"/>
    <w:rPr>
      <w:rFonts w:ascii="Calibri" w:eastAsia="Calibri" w:hAnsi="Calibri"/>
      <w:sz w:val="22"/>
      <w:szCs w:val="22"/>
      <w:lang w:eastAsia="en-US"/>
    </w:rPr>
  </w:style>
  <w:style w:type="character" w:customStyle="1" w:styleId="BalloonTextChar">
    <w:name w:val="Balloon Text Char"/>
    <w:basedOn w:val="DefaultParagraphFont"/>
    <w:link w:val="BalloonText"/>
    <w:uiPriority w:val="99"/>
    <w:semiHidden/>
    <w:rsid w:val="008307B8"/>
    <w:rPr>
      <w:rFonts w:ascii="Tahoma" w:hAnsi="Tahoma" w:cs="Tahoma"/>
      <w:sz w:val="16"/>
      <w:szCs w:val="16"/>
      <w:lang w:val="en-US" w:eastAsia="en-US"/>
    </w:rPr>
  </w:style>
  <w:style w:type="paragraph" w:customStyle="1" w:styleId="Default">
    <w:name w:val="Default"/>
    <w:rsid w:val="00477922"/>
    <w:pPr>
      <w:autoSpaceDE w:val="0"/>
      <w:autoSpaceDN w:val="0"/>
      <w:adjustRightInd w:val="0"/>
    </w:pPr>
    <w:rPr>
      <w:rFonts w:ascii="Bookman Old Style" w:hAnsi="Bookman Old Style" w:cs="Bookman Old Style"/>
      <w:color w:val="000000"/>
      <w:sz w:val="24"/>
      <w:szCs w:val="24"/>
    </w:rPr>
  </w:style>
  <w:style w:type="character" w:customStyle="1" w:styleId="BodyTextChar">
    <w:name w:val="Body Text Char"/>
    <w:basedOn w:val="DefaultParagraphFont"/>
    <w:link w:val="BodyText"/>
    <w:rsid w:val="003875A8"/>
    <w:rPr>
      <w:sz w:val="24"/>
      <w:szCs w:val="24"/>
      <w:lang w:val="en-US" w:eastAsia="en-US"/>
    </w:rPr>
  </w:style>
  <w:style w:type="character" w:customStyle="1" w:styleId="Heading1Char">
    <w:name w:val="Heading 1 Char"/>
    <w:basedOn w:val="DefaultParagraphFont"/>
    <w:link w:val="Heading1"/>
    <w:rsid w:val="003875A8"/>
    <w:rPr>
      <w:rFonts w:ascii="Arial" w:hAnsi="Arial" w:cs="Arial"/>
      <w:b/>
      <w:bCs/>
      <w:kern w:val="32"/>
      <w:sz w:val="32"/>
      <w:szCs w:val="32"/>
      <w:lang w:val="en-US" w:eastAsia="en-US"/>
    </w:rPr>
  </w:style>
  <w:style w:type="character" w:customStyle="1" w:styleId="BodyText2Char">
    <w:name w:val="Body Text 2 Char"/>
    <w:basedOn w:val="DefaultParagraphFont"/>
    <w:link w:val="BodyText2"/>
    <w:rsid w:val="00920FF5"/>
    <w:rPr>
      <w:rFonts w:ascii="Arial" w:hAnsi="Arial"/>
      <w:sz w:val="44"/>
      <w:lang w:val="en-US" w:eastAsia="en-US"/>
    </w:rPr>
  </w:style>
  <w:style w:type="paragraph" w:styleId="TOC4">
    <w:name w:val="toc 4"/>
    <w:basedOn w:val="Normal"/>
    <w:next w:val="Normal"/>
    <w:autoRedefine/>
    <w:uiPriority w:val="39"/>
    <w:unhideWhenUsed/>
    <w:rsid w:val="00FB473D"/>
    <w:pPr>
      <w:spacing w:after="100" w:line="276" w:lineRule="auto"/>
      <w:ind w:left="660"/>
    </w:pPr>
    <w:rPr>
      <w:rFonts w:ascii="Calibri" w:hAnsi="Calibri"/>
      <w:sz w:val="22"/>
      <w:szCs w:val="22"/>
      <w:lang w:val="en-IN" w:eastAsia="en-IN"/>
    </w:rPr>
  </w:style>
  <w:style w:type="paragraph" w:styleId="TOC5">
    <w:name w:val="toc 5"/>
    <w:basedOn w:val="Normal"/>
    <w:next w:val="Normal"/>
    <w:autoRedefine/>
    <w:uiPriority w:val="39"/>
    <w:unhideWhenUsed/>
    <w:rsid w:val="00FB473D"/>
    <w:pPr>
      <w:spacing w:after="100" w:line="276" w:lineRule="auto"/>
      <w:ind w:left="880"/>
    </w:pPr>
    <w:rPr>
      <w:rFonts w:ascii="Calibri" w:hAnsi="Calibri"/>
      <w:sz w:val="22"/>
      <w:szCs w:val="22"/>
      <w:lang w:val="en-IN" w:eastAsia="en-IN"/>
    </w:rPr>
  </w:style>
  <w:style w:type="paragraph" w:styleId="TOC6">
    <w:name w:val="toc 6"/>
    <w:basedOn w:val="Normal"/>
    <w:next w:val="Normal"/>
    <w:autoRedefine/>
    <w:uiPriority w:val="39"/>
    <w:unhideWhenUsed/>
    <w:rsid w:val="00FB473D"/>
    <w:pPr>
      <w:spacing w:after="100" w:line="276" w:lineRule="auto"/>
      <w:ind w:left="1100"/>
    </w:pPr>
    <w:rPr>
      <w:rFonts w:ascii="Calibri" w:hAnsi="Calibri"/>
      <w:sz w:val="22"/>
      <w:szCs w:val="22"/>
      <w:lang w:val="en-IN" w:eastAsia="en-IN"/>
    </w:rPr>
  </w:style>
  <w:style w:type="paragraph" w:styleId="TOC7">
    <w:name w:val="toc 7"/>
    <w:basedOn w:val="Normal"/>
    <w:next w:val="Normal"/>
    <w:autoRedefine/>
    <w:uiPriority w:val="39"/>
    <w:unhideWhenUsed/>
    <w:rsid w:val="00FB473D"/>
    <w:pPr>
      <w:spacing w:after="100" w:line="276" w:lineRule="auto"/>
      <w:ind w:left="1320"/>
    </w:pPr>
    <w:rPr>
      <w:rFonts w:ascii="Calibri" w:hAnsi="Calibri"/>
      <w:sz w:val="22"/>
      <w:szCs w:val="22"/>
      <w:lang w:val="en-IN" w:eastAsia="en-IN"/>
    </w:rPr>
  </w:style>
  <w:style w:type="paragraph" w:styleId="TOC8">
    <w:name w:val="toc 8"/>
    <w:basedOn w:val="Normal"/>
    <w:next w:val="Normal"/>
    <w:autoRedefine/>
    <w:uiPriority w:val="39"/>
    <w:unhideWhenUsed/>
    <w:rsid w:val="00FB473D"/>
    <w:pPr>
      <w:spacing w:after="100" w:line="276" w:lineRule="auto"/>
      <w:ind w:left="1540"/>
    </w:pPr>
    <w:rPr>
      <w:rFonts w:ascii="Calibri" w:hAnsi="Calibri"/>
      <w:sz w:val="22"/>
      <w:szCs w:val="22"/>
      <w:lang w:val="en-IN" w:eastAsia="en-IN"/>
    </w:rPr>
  </w:style>
  <w:style w:type="paragraph" w:styleId="TOC9">
    <w:name w:val="toc 9"/>
    <w:basedOn w:val="Normal"/>
    <w:next w:val="Normal"/>
    <w:autoRedefine/>
    <w:uiPriority w:val="39"/>
    <w:unhideWhenUsed/>
    <w:rsid w:val="00FB473D"/>
    <w:pPr>
      <w:spacing w:after="100" w:line="276" w:lineRule="auto"/>
      <w:ind w:left="1760"/>
    </w:pPr>
    <w:rPr>
      <w:rFonts w:ascii="Calibri" w:hAnsi="Calibri"/>
      <w:sz w:val="22"/>
      <w:szCs w:val="22"/>
      <w:lang w:val="en-IN" w:eastAsia="en-IN"/>
    </w:rPr>
  </w:style>
  <w:style w:type="character" w:customStyle="1" w:styleId="ListParagraphChar">
    <w:name w:val="List Paragraph Char"/>
    <w:basedOn w:val="DefaultParagraphFont"/>
    <w:link w:val="ListParagraph"/>
    <w:uiPriority w:val="34"/>
    <w:rsid w:val="007103C1"/>
    <w:rPr>
      <w:rFonts w:ascii="Calibri" w:eastAsia="Calibri" w:hAnsi="Calibri"/>
      <w:sz w:val="22"/>
      <w:szCs w:val="22"/>
    </w:rPr>
  </w:style>
  <w:style w:type="character" w:styleId="CommentReference">
    <w:name w:val="annotation reference"/>
    <w:basedOn w:val="DefaultParagraphFont"/>
    <w:rsid w:val="00D77FDF"/>
    <w:rPr>
      <w:sz w:val="16"/>
      <w:szCs w:val="16"/>
    </w:rPr>
  </w:style>
  <w:style w:type="paragraph" w:styleId="CommentText">
    <w:name w:val="annotation text"/>
    <w:basedOn w:val="Normal"/>
    <w:link w:val="CommentTextChar"/>
    <w:rsid w:val="00D77FDF"/>
    <w:rPr>
      <w:sz w:val="20"/>
      <w:szCs w:val="20"/>
    </w:rPr>
  </w:style>
  <w:style w:type="character" w:customStyle="1" w:styleId="CommentTextChar">
    <w:name w:val="Comment Text Char"/>
    <w:basedOn w:val="DefaultParagraphFont"/>
    <w:link w:val="CommentText"/>
    <w:rsid w:val="00D77FDF"/>
    <w:rPr>
      <w:lang w:val="en-US" w:eastAsia="en-US"/>
    </w:rPr>
  </w:style>
  <w:style w:type="paragraph" w:styleId="CommentSubject">
    <w:name w:val="annotation subject"/>
    <w:basedOn w:val="CommentText"/>
    <w:next w:val="CommentText"/>
    <w:link w:val="CommentSubjectChar"/>
    <w:rsid w:val="00D77FDF"/>
    <w:rPr>
      <w:b/>
      <w:bCs/>
    </w:rPr>
  </w:style>
  <w:style w:type="character" w:customStyle="1" w:styleId="CommentSubjectChar">
    <w:name w:val="Comment Subject Char"/>
    <w:basedOn w:val="CommentTextChar"/>
    <w:link w:val="CommentSubject"/>
    <w:rsid w:val="00D77FDF"/>
    <w:rPr>
      <w:b/>
      <w:bCs/>
      <w:lang w:val="en-US" w:eastAsia="en-US"/>
    </w:rPr>
  </w:style>
  <w:style w:type="paragraph" w:styleId="PlainText">
    <w:name w:val="Plain Text"/>
    <w:basedOn w:val="Normal"/>
    <w:link w:val="PlainTextChar"/>
    <w:uiPriority w:val="99"/>
    <w:unhideWhenUsed/>
    <w:rsid w:val="00B60A4B"/>
    <w:rPr>
      <w:rFonts w:ascii="Calibri" w:eastAsia="Calibri" w:hAnsi="Calibri"/>
      <w:sz w:val="22"/>
      <w:szCs w:val="21"/>
    </w:rPr>
  </w:style>
  <w:style w:type="character" w:customStyle="1" w:styleId="PlainTextChar">
    <w:name w:val="Plain Text Char"/>
    <w:basedOn w:val="DefaultParagraphFont"/>
    <w:link w:val="PlainText"/>
    <w:uiPriority w:val="99"/>
    <w:rsid w:val="00B60A4B"/>
    <w:rPr>
      <w:rFonts w:ascii="Calibri" w:eastAsia="Calibri" w:hAnsi="Calibri" w:cs="Times New Roman"/>
      <w:sz w:val="22"/>
      <w:szCs w:val="21"/>
      <w:lang w:val="en-US" w:eastAsia="en-US"/>
    </w:rPr>
  </w:style>
  <w:style w:type="character" w:customStyle="1" w:styleId="apple-converted-space">
    <w:name w:val="apple-converted-space"/>
    <w:basedOn w:val="DefaultParagraphFont"/>
    <w:rsid w:val="00FB220E"/>
  </w:style>
  <w:style w:type="paragraph" w:styleId="DocumentMap">
    <w:name w:val="Document Map"/>
    <w:basedOn w:val="Normal"/>
    <w:link w:val="DocumentMapChar"/>
    <w:rsid w:val="004D47E6"/>
    <w:rPr>
      <w:rFonts w:ascii="Tahoma" w:hAnsi="Tahoma" w:cs="Tahoma"/>
      <w:sz w:val="16"/>
      <w:szCs w:val="16"/>
    </w:rPr>
  </w:style>
  <w:style w:type="character" w:customStyle="1" w:styleId="DocumentMapChar">
    <w:name w:val="Document Map Char"/>
    <w:basedOn w:val="DefaultParagraphFont"/>
    <w:link w:val="DocumentMap"/>
    <w:rsid w:val="004D47E6"/>
    <w:rPr>
      <w:rFonts w:ascii="Tahoma" w:hAnsi="Tahoma" w:cs="Tahoma"/>
      <w:sz w:val="16"/>
      <w:szCs w:val="16"/>
    </w:rPr>
  </w:style>
  <w:style w:type="character" w:customStyle="1" w:styleId="FooterChar">
    <w:name w:val="Footer Char"/>
    <w:basedOn w:val="DefaultParagraphFont"/>
    <w:link w:val="Footer"/>
    <w:uiPriority w:val="99"/>
    <w:rsid w:val="007C026E"/>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1B0A"/>
    <w:rPr>
      <w:sz w:val="24"/>
      <w:szCs w:val="24"/>
      <w:lang w:val="en-US" w:eastAsia="en-US"/>
    </w:rPr>
  </w:style>
  <w:style w:type="paragraph" w:styleId="Heading1">
    <w:name w:val="heading 1"/>
    <w:basedOn w:val="Normal"/>
    <w:next w:val="Normal"/>
    <w:link w:val="Heading1Char"/>
    <w:qFormat/>
    <w:rsid w:val="004D4C0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C15FB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0D4D4C"/>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4D4C04"/>
  </w:style>
  <w:style w:type="character" w:styleId="Hyperlink">
    <w:name w:val="Hyperlink"/>
    <w:basedOn w:val="DefaultParagraphFont"/>
    <w:uiPriority w:val="99"/>
    <w:rsid w:val="004D4C04"/>
    <w:rPr>
      <w:color w:val="0000FF"/>
      <w:u w:val="single"/>
    </w:rPr>
  </w:style>
  <w:style w:type="paragraph" w:styleId="Header">
    <w:name w:val="header"/>
    <w:basedOn w:val="Normal"/>
    <w:rsid w:val="004C4AA4"/>
    <w:pPr>
      <w:tabs>
        <w:tab w:val="center" w:pos="4320"/>
        <w:tab w:val="right" w:pos="8640"/>
      </w:tabs>
    </w:pPr>
  </w:style>
  <w:style w:type="paragraph" w:styleId="Footer">
    <w:name w:val="footer"/>
    <w:basedOn w:val="Normal"/>
    <w:rsid w:val="004C4AA4"/>
    <w:pPr>
      <w:tabs>
        <w:tab w:val="center" w:pos="4320"/>
        <w:tab w:val="right" w:pos="8640"/>
      </w:tabs>
    </w:pPr>
  </w:style>
  <w:style w:type="character" w:styleId="PageNumber">
    <w:name w:val="page number"/>
    <w:basedOn w:val="DefaultParagraphFont"/>
    <w:rsid w:val="004C4AA4"/>
  </w:style>
  <w:style w:type="paragraph" w:styleId="Caption">
    <w:name w:val="caption"/>
    <w:basedOn w:val="Normal"/>
    <w:next w:val="Normal"/>
    <w:qFormat/>
    <w:rsid w:val="001A6DDF"/>
    <w:pPr>
      <w:spacing w:before="120" w:after="120"/>
    </w:pPr>
    <w:rPr>
      <w:rFonts w:ascii="Arial" w:hAnsi="Arial"/>
      <w:sz w:val="20"/>
      <w:szCs w:val="20"/>
      <w:lang w:val="en-GB"/>
    </w:rPr>
  </w:style>
  <w:style w:type="paragraph" w:styleId="BodyText2">
    <w:name w:val="Body Text 2"/>
    <w:basedOn w:val="Normal"/>
    <w:link w:val="BodyText2Char"/>
    <w:rsid w:val="001A6DDF"/>
    <w:pPr>
      <w:spacing w:before="120" w:after="120"/>
    </w:pPr>
    <w:rPr>
      <w:rFonts w:ascii="Arial" w:hAnsi="Arial"/>
      <w:sz w:val="44"/>
      <w:szCs w:val="20"/>
    </w:rPr>
  </w:style>
  <w:style w:type="paragraph" w:customStyle="1" w:styleId="ARR-normalbody">
    <w:name w:val="ARR - normal body"/>
    <w:basedOn w:val="BodyText"/>
    <w:autoRedefine/>
    <w:rsid w:val="000C2942"/>
    <w:pPr>
      <w:tabs>
        <w:tab w:val="left" w:pos="450"/>
      </w:tabs>
      <w:spacing w:before="120" w:after="240" w:line="360" w:lineRule="auto"/>
      <w:ind w:left="450"/>
      <w:jc w:val="both"/>
    </w:pPr>
    <w:rPr>
      <w:rFonts w:ascii="Arial" w:hAnsi="Arial" w:cs="Arial"/>
      <w:sz w:val="22"/>
      <w:szCs w:val="22"/>
      <w:lang w:val="en-GB"/>
    </w:rPr>
  </w:style>
  <w:style w:type="paragraph" w:styleId="BodyText">
    <w:name w:val="Body Text"/>
    <w:basedOn w:val="Normal"/>
    <w:link w:val="BodyTextChar"/>
    <w:rsid w:val="001A6DDF"/>
    <w:pPr>
      <w:spacing w:after="120"/>
    </w:pPr>
  </w:style>
  <w:style w:type="table" w:styleId="TableGrid">
    <w:name w:val="Table Grid"/>
    <w:basedOn w:val="TableNormal"/>
    <w:uiPriority w:val="59"/>
    <w:rsid w:val="000225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5">
    <w:name w:val="xl55"/>
    <w:basedOn w:val="Normal"/>
    <w:rsid w:val="00251B0E"/>
    <w:pPr>
      <w:pBdr>
        <w:right w:val="single" w:sz="8" w:space="0" w:color="auto"/>
      </w:pBdr>
      <w:spacing w:before="100" w:beforeAutospacing="1" w:after="100" w:afterAutospacing="1"/>
      <w:jc w:val="both"/>
    </w:pPr>
    <w:rPr>
      <w:rFonts w:ascii="Arial" w:eastAsia="Arial Unicode MS" w:hAnsi="Arial" w:cs="Arial"/>
      <w:sz w:val="20"/>
      <w:szCs w:val="20"/>
    </w:rPr>
  </w:style>
  <w:style w:type="table" w:styleId="TableGrid8">
    <w:name w:val="Table Grid 8"/>
    <w:aliases w:val="Table Grid s"/>
    <w:basedOn w:val="TableNormal"/>
    <w:rsid w:val="004E00CB"/>
    <w:pPr>
      <w:spacing w:before="120" w:after="12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15" w:type="dxa"/>
        <w:bottom w:w="0" w:type="dxa"/>
        <w:right w:w="115" w:type="dxa"/>
      </w:tblCellMar>
    </w:tblPr>
    <w:tcPr>
      <w:shd w:val="clear" w:color="auto" w:fill="FFFFFF"/>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ListNumber">
    <w:name w:val="List Number"/>
    <w:aliases w:val="List Number Char Char Char Char Char1,List Number Char Char Char Char Char Char Char Char Char Char Char Char Char Char Char Char Char Char Char Char Char1,List Number11"/>
    <w:basedOn w:val="Normal"/>
    <w:rsid w:val="005924C0"/>
    <w:pPr>
      <w:tabs>
        <w:tab w:val="num" w:pos="360"/>
        <w:tab w:val="left" w:pos="720"/>
      </w:tabs>
      <w:spacing w:before="120" w:after="180"/>
      <w:ind w:left="360" w:hanging="360"/>
    </w:pPr>
    <w:rPr>
      <w:rFonts w:ascii="Arial" w:hAnsi="Arial"/>
      <w:sz w:val="20"/>
      <w:szCs w:val="20"/>
      <w:lang w:val="en-GB"/>
    </w:rPr>
  </w:style>
  <w:style w:type="character" w:customStyle="1" w:styleId="ListNumber2">
    <w:name w:val="List Number2"/>
    <w:aliases w:val="List Number Char Char Char Char Char11,List Number Char Char Char Char Char Char Char Char Char Char Char Char Char Char Char Char Char Char Char Char Char11,List Number11 Char"/>
    <w:basedOn w:val="DefaultParagraphFont"/>
    <w:rsid w:val="005924C0"/>
    <w:rPr>
      <w:rFonts w:ascii="Arial" w:hAnsi="Arial"/>
      <w:lang w:val="en-GB" w:eastAsia="en-US" w:bidi="ar-SA"/>
    </w:rPr>
  </w:style>
  <w:style w:type="paragraph" w:customStyle="1" w:styleId="PwcUttaranchalNormalTextFinalCharChar">
    <w:name w:val="Pwc Uttaranchal Normal Text Final Char Char"/>
    <w:basedOn w:val="BodyText"/>
    <w:rsid w:val="002A45DF"/>
    <w:pPr>
      <w:tabs>
        <w:tab w:val="left" w:pos="720"/>
        <w:tab w:val="left" w:pos="2992"/>
        <w:tab w:val="left" w:pos="3060"/>
        <w:tab w:val="left" w:pos="3179"/>
      </w:tabs>
      <w:spacing w:after="240" w:line="360" w:lineRule="auto"/>
      <w:jc w:val="both"/>
    </w:pPr>
    <w:rPr>
      <w:rFonts w:ascii="Arial" w:hAnsi="Arial" w:cs="Arial"/>
    </w:rPr>
  </w:style>
  <w:style w:type="paragraph" w:styleId="BalloonText">
    <w:name w:val="Balloon Text"/>
    <w:basedOn w:val="Normal"/>
    <w:link w:val="BalloonTextChar"/>
    <w:uiPriority w:val="99"/>
    <w:semiHidden/>
    <w:rsid w:val="00131CCB"/>
    <w:rPr>
      <w:rFonts w:ascii="Tahoma" w:hAnsi="Tahoma" w:cs="Tahoma"/>
      <w:sz w:val="16"/>
      <w:szCs w:val="16"/>
    </w:rPr>
  </w:style>
  <w:style w:type="paragraph" w:styleId="Title">
    <w:name w:val="Title"/>
    <w:basedOn w:val="Normal"/>
    <w:qFormat/>
    <w:rsid w:val="00F72972"/>
    <w:pPr>
      <w:spacing w:before="240" w:after="60"/>
      <w:jc w:val="center"/>
      <w:outlineLvl w:val="0"/>
    </w:pPr>
    <w:rPr>
      <w:rFonts w:ascii="Arial" w:hAnsi="Arial"/>
      <w:b/>
      <w:kern w:val="28"/>
      <w:sz w:val="32"/>
      <w:szCs w:val="20"/>
      <w:lang w:val="en-GB"/>
    </w:rPr>
  </w:style>
  <w:style w:type="character" w:customStyle="1" w:styleId="Heading2Char">
    <w:name w:val="Heading 2 Char"/>
    <w:basedOn w:val="DefaultParagraphFont"/>
    <w:link w:val="Heading2"/>
    <w:rsid w:val="00D054F6"/>
    <w:rPr>
      <w:rFonts w:ascii="Arial" w:hAnsi="Arial" w:cs="Arial"/>
      <w:b/>
      <w:bCs/>
      <w:i/>
      <w:iCs/>
      <w:sz w:val="28"/>
      <w:szCs w:val="28"/>
      <w:lang w:val="en-US" w:eastAsia="en-US" w:bidi="ar-SA"/>
    </w:rPr>
  </w:style>
  <w:style w:type="character" w:styleId="FollowedHyperlink">
    <w:name w:val="FollowedHyperlink"/>
    <w:basedOn w:val="DefaultParagraphFont"/>
    <w:rsid w:val="004D5303"/>
    <w:rPr>
      <w:color w:val="800080"/>
      <w:u w:val="single"/>
    </w:rPr>
  </w:style>
  <w:style w:type="paragraph" w:styleId="NormalWeb">
    <w:name w:val="Normal (Web)"/>
    <w:basedOn w:val="Normal"/>
    <w:uiPriority w:val="99"/>
    <w:rsid w:val="004D5303"/>
    <w:pPr>
      <w:spacing w:before="100" w:beforeAutospacing="1" w:after="100" w:afterAutospacing="1"/>
    </w:pPr>
  </w:style>
  <w:style w:type="paragraph" w:styleId="TOC2">
    <w:name w:val="toc 2"/>
    <w:basedOn w:val="Normal"/>
    <w:next w:val="Normal"/>
    <w:autoRedefine/>
    <w:uiPriority w:val="39"/>
    <w:rsid w:val="00401F48"/>
    <w:pPr>
      <w:ind w:left="240"/>
    </w:pPr>
  </w:style>
  <w:style w:type="paragraph" w:styleId="TOC3">
    <w:name w:val="toc 3"/>
    <w:basedOn w:val="Normal"/>
    <w:next w:val="Normal"/>
    <w:autoRedefine/>
    <w:uiPriority w:val="39"/>
    <w:rsid w:val="00401F48"/>
    <w:pPr>
      <w:ind w:left="480"/>
    </w:pPr>
  </w:style>
  <w:style w:type="paragraph" w:styleId="ListParagraph">
    <w:name w:val="List Paragraph"/>
    <w:basedOn w:val="Normal"/>
    <w:link w:val="ListParagraphChar"/>
    <w:uiPriority w:val="34"/>
    <w:qFormat/>
    <w:rsid w:val="00FB3896"/>
    <w:pPr>
      <w:spacing w:after="200" w:line="276" w:lineRule="auto"/>
      <w:ind w:left="720"/>
      <w:contextualSpacing/>
    </w:pPr>
    <w:rPr>
      <w:rFonts w:ascii="Calibri" w:eastAsia="Calibri" w:hAnsi="Calibri"/>
      <w:sz w:val="22"/>
      <w:szCs w:val="22"/>
    </w:rPr>
  </w:style>
  <w:style w:type="paragraph" w:customStyle="1" w:styleId="Level11">
    <w:name w:val="Level 1.1"/>
    <w:aliases w:val="Reports"/>
    <w:basedOn w:val="Normal"/>
    <w:next w:val="Normal"/>
    <w:rsid w:val="00477C2E"/>
    <w:pPr>
      <w:autoSpaceDE w:val="0"/>
      <w:autoSpaceDN w:val="0"/>
      <w:adjustRightInd w:val="0"/>
    </w:pPr>
    <w:rPr>
      <w:rFonts w:ascii="HFKACP+TimesNewRoman" w:hAnsi="HFKACP+TimesNewRoman"/>
      <w:lang w:val="en-IN" w:eastAsia="en-IN"/>
    </w:rPr>
  </w:style>
  <w:style w:type="paragraph" w:styleId="NoSpacing">
    <w:name w:val="No Spacing"/>
    <w:qFormat/>
    <w:rsid w:val="008307B8"/>
    <w:rPr>
      <w:rFonts w:ascii="Calibri" w:eastAsia="Calibri" w:hAnsi="Calibri"/>
      <w:sz w:val="22"/>
      <w:szCs w:val="22"/>
      <w:lang w:eastAsia="en-US"/>
    </w:rPr>
  </w:style>
  <w:style w:type="character" w:customStyle="1" w:styleId="BalloonTextChar">
    <w:name w:val="Balloon Text Char"/>
    <w:basedOn w:val="DefaultParagraphFont"/>
    <w:link w:val="BalloonText"/>
    <w:uiPriority w:val="99"/>
    <w:semiHidden/>
    <w:rsid w:val="008307B8"/>
    <w:rPr>
      <w:rFonts w:ascii="Tahoma" w:hAnsi="Tahoma" w:cs="Tahoma"/>
      <w:sz w:val="16"/>
      <w:szCs w:val="16"/>
      <w:lang w:val="en-US" w:eastAsia="en-US"/>
    </w:rPr>
  </w:style>
  <w:style w:type="paragraph" w:customStyle="1" w:styleId="Default">
    <w:name w:val="Default"/>
    <w:rsid w:val="00477922"/>
    <w:pPr>
      <w:autoSpaceDE w:val="0"/>
      <w:autoSpaceDN w:val="0"/>
      <w:adjustRightInd w:val="0"/>
    </w:pPr>
    <w:rPr>
      <w:rFonts w:ascii="Bookman Old Style" w:hAnsi="Bookman Old Style" w:cs="Bookman Old Style"/>
      <w:color w:val="000000"/>
      <w:sz w:val="24"/>
      <w:szCs w:val="24"/>
    </w:rPr>
  </w:style>
  <w:style w:type="character" w:customStyle="1" w:styleId="BodyTextChar">
    <w:name w:val="Body Text Char"/>
    <w:basedOn w:val="DefaultParagraphFont"/>
    <w:link w:val="BodyText"/>
    <w:rsid w:val="003875A8"/>
    <w:rPr>
      <w:sz w:val="24"/>
      <w:szCs w:val="24"/>
      <w:lang w:val="en-US" w:eastAsia="en-US"/>
    </w:rPr>
  </w:style>
  <w:style w:type="character" w:customStyle="1" w:styleId="Heading1Char">
    <w:name w:val="Heading 1 Char"/>
    <w:basedOn w:val="DefaultParagraphFont"/>
    <w:link w:val="Heading1"/>
    <w:rsid w:val="003875A8"/>
    <w:rPr>
      <w:rFonts w:ascii="Arial" w:hAnsi="Arial" w:cs="Arial"/>
      <w:b/>
      <w:bCs/>
      <w:kern w:val="32"/>
      <w:sz w:val="32"/>
      <w:szCs w:val="32"/>
      <w:lang w:val="en-US" w:eastAsia="en-US"/>
    </w:rPr>
  </w:style>
  <w:style w:type="character" w:customStyle="1" w:styleId="BodyText2Char">
    <w:name w:val="Body Text 2 Char"/>
    <w:basedOn w:val="DefaultParagraphFont"/>
    <w:link w:val="BodyText2"/>
    <w:rsid w:val="00920FF5"/>
    <w:rPr>
      <w:rFonts w:ascii="Arial" w:hAnsi="Arial"/>
      <w:sz w:val="44"/>
      <w:lang w:val="en-US" w:eastAsia="en-US"/>
    </w:rPr>
  </w:style>
  <w:style w:type="paragraph" w:styleId="TOC4">
    <w:name w:val="toc 4"/>
    <w:basedOn w:val="Normal"/>
    <w:next w:val="Normal"/>
    <w:autoRedefine/>
    <w:uiPriority w:val="39"/>
    <w:unhideWhenUsed/>
    <w:rsid w:val="00FB473D"/>
    <w:pPr>
      <w:spacing w:after="100" w:line="276" w:lineRule="auto"/>
      <w:ind w:left="660"/>
    </w:pPr>
    <w:rPr>
      <w:rFonts w:ascii="Calibri" w:hAnsi="Calibri"/>
      <w:sz w:val="22"/>
      <w:szCs w:val="22"/>
      <w:lang w:val="en-IN" w:eastAsia="en-IN"/>
    </w:rPr>
  </w:style>
  <w:style w:type="paragraph" w:styleId="TOC5">
    <w:name w:val="toc 5"/>
    <w:basedOn w:val="Normal"/>
    <w:next w:val="Normal"/>
    <w:autoRedefine/>
    <w:uiPriority w:val="39"/>
    <w:unhideWhenUsed/>
    <w:rsid w:val="00FB473D"/>
    <w:pPr>
      <w:spacing w:after="100" w:line="276" w:lineRule="auto"/>
      <w:ind w:left="880"/>
    </w:pPr>
    <w:rPr>
      <w:rFonts w:ascii="Calibri" w:hAnsi="Calibri"/>
      <w:sz w:val="22"/>
      <w:szCs w:val="22"/>
      <w:lang w:val="en-IN" w:eastAsia="en-IN"/>
    </w:rPr>
  </w:style>
  <w:style w:type="paragraph" w:styleId="TOC6">
    <w:name w:val="toc 6"/>
    <w:basedOn w:val="Normal"/>
    <w:next w:val="Normal"/>
    <w:autoRedefine/>
    <w:uiPriority w:val="39"/>
    <w:unhideWhenUsed/>
    <w:rsid w:val="00FB473D"/>
    <w:pPr>
      <w:spacing w:after="100" w:line="276" w:lineRule="auto"/>
      <w:ind w:left="1100"/>
    </w:pPr>
    <w:rPr>
      <w:rFonts w:ascii="Calibri" w:hAnsi="Calibri"/>
      <w:sz w:val="22"/>
      <w:szCs w:val="22"/>
      <w:lang w:val="en-IN" w:eastAsia="en-IN"/>
    </w:rPr>
  </w:style>
  <w:style w:type="paragraph" w:styleId="TOC7">
    <w:name w:val="toc 7"/>
    <w:basedOn w:val="Normal"/>
    <w:next w:val="Normal"/>
    <w:autoRedefine/>
    <w:uiPriority w:val="39"/>
    <w:unhideWhenUsed/>
    <w:rsid w:val="00FB473D"/>
    <w:pPr>
      <w:spacing w:after="100" w:line="276" w:lineRule="auto"/>
      <w:ind w:left="1320"/>
    </w:pPr>
    <w:rPr>
      <w:rFonts w:ascii="Calibri" w:hAnsi="Calibri"/>
      <w:sz w:val="22"/>
      <w:szCs w:val="22"/>
      <w:lang w:val="en-IN" w:eastAsia="en-IN"/>
    </w:rPr>
  </w:style>
  <w:style w:type="paragraph" w:styleId="TOC8">
    <w:name w:val="toc 8"/>
    <w:basedOn w:val="Normal"/>
    <w:next w:val="Normal"/>
    <w:autoRedefine/>
    <w:uiPriority w:val="39"/>
    <w:unhideWhenUsed/>
    <w:rsid w:val="00FB473D"/>
    <w:pPr>
      <w:spacing w:after="100" w:line="276" w:lineRule="auto"/>
      <w:ind w:left="1540"/>
    </w:pPr>
    <w:rPr>
      <w:rFonts w:ascii="Calibri" w:hAnsi="Calibri"/>
      <w:sz w:val="22"/>
      <w:szCs w:val="22"/>
      <w:lang w:val="en-IN" w:eastAsia="en-IN"/>
    </w:rPr>
  </w:style>
  <w:style w:type="paragraph" w:styleId="TOC9">
    <w:name w:val="toc 9"/>
    <w:basedOn w:val="Normal"/>
    <w:next w:val="Normal"/>
    <w:autoRedefine/>
    <w:uiPriority w:val="39"/>
    <w:unhideWhenUsed/>
    <w:rsid w:val="00FB473D"/>
    <w:pPr>
      <w:spacing w:after="100" w:line="276" w:lineRule="auto"/>
      <w:ind w:left="1760"/>
    </w:pPr>
    <w:rPr>
      <w:rFonts w:ascii="Calibri" w:hAnsi="Calibri"/>
      <w:sz w:val="22"/>
      <w:szCs w:val="22"/>
      <w:lang w:val="en-IN" w:eastAsia="en-IN"/>
    </w:rPr>
  </w:style>
  <w:style w:type="character" w:customStyle="1" w:styleId="ListParagraphChar">
    <w:name w:val="List Paragraph Char"/>
    <w:basedOn w:val="DefaultParagraphFont"/>
    <w:link w:val="ListParagraph"/>
    <w:uiPriority w:val="34"/>
    <w:rsid w:val="007103C1"/>
    <w:rPr>
      <w:rFonts w:ascii="Calibri" w:eastAsia="Calibri" w:hAnsi="Calibri"/>
      <w:sz w:val="22"/>
      <w:szCs w:val="22"/>
    </w:rPr>
  </w:style>
  <w:style w:type="character" w:styleId="CommentReference">
    <w:name w:val="annotation reference"/>
    <w:basedOn w:val="DefaultParagraphFont"/>
    <w:rsid w:val="00D77FDF"/>
    <w:rPr>
      <w:sz w:val="16"/>
      <w:szCs w:val="16"/>
    </w:rPr>
  </w:style>
  <w:style w:type="paragraph" w:styleId="CommentText">
    <w:name w:val="annotation text"/>
    <w:basedOn w:val="Normal"/>
    <w:link w:val="CommentTextChar"/>
    <w:rsid w:val="00D77FDF"/>
    <w:rPr>
      <w:sz w:val="20"/>
      <w:szCs w:val="20"/>
    </w:rPr>
  </w:style>
  <w:style w:type="character" w:customStyle="1" w:styleId="CommentTextChar">
    <w:name w:val="Comment Text Char"/>
    <w:basedOn w:val="DefaultParagraphFont"/>
    <w:link w:val="CommentText"/>
    <w:rsid w:val="00D77FDF"/>
    <w:rPr>
      <w:lang w:val="en-US" w:eastAsia="en-US"/>
    </w:rPr>
  </w:style>
  <w:style w:type="paragraph" w:styleId="CommentSubject">
    <w:name w:val="annotation subject"/>
    <w:basedOn w:val="CommentText"/>
    <w:next w:val="CommentText"/>
    <w:link w:val="CommentSubjectChar"/>
    <w:rsid w:val="00D77FDF"/>
    <w:rPr>
      <w:b/>
      <w:bCs/>
    </w:rPr>
  </w:style>
  <w:style w:type="character" w:customStyle="1" w:styleId="CommentSubjectChar">
    <w:name w:val="Comment Subject Char"/>
    <w:basedOn w:val="CommentTextChar"/>
    <w:link w:val="CommentSubject"/>
    <w:rsid w:val="00D77FDF"/>
    <w:rPr>
      <w:b/>
      <w:bCs/>
      <w:lang w:val="en-US" w:eastAsia="en-US"/>
    </w:rPr>
  </w:style>
  <w:style w:type="paragraph" w:styleId="PlainText">
    <w:name w:val="Plain Text"/>
    <w:basedOn w:val="Normal"/>
    <w:link w:val="PlainTextChar"/>
    <w:uiPriority w:val="99"/>
    <w:unhideWhenUsed/>
    <w:rsid w:val="00B60A4B"/>
    <w:rPr>
      <w:rFonts w:ascii="Calibri" w:eastAsia="Calibri" w:hAnsi="Calibri"/>
      <w:sz w:val="22"/>
      <w:szCs w:val="21"/>
    </w:rPr>
  </w:style>
  <w:style w:type="character" w:customStyle="1" w:styleId="PlainTextChar">
    <w:name w:val="Plain Text Char"/>
    <w:basedOn w:val="DefaultParagraphFont"/>
    <w:link w:val="PlainText"/>
    <w:uiPriority w:val="99"/>
    <w:rsid w:val="00B60A4B"/>
    <w:rPr>
      <w:rFonts w:ascii="Calibri" w:eastAsia="Calibri" w:hAnsi="Calibri" w:cs="Times New Roman"/>
      <w:sz w:val="22"/>
      <w:szCs w:val="21"/>
      <w:lang w:val="en-US" w:eastAsia="en-US"/>
    </w:rPr>
  </w:style>
  <w:style w:type="character" w:customStyle="1" w:styleId="apple-converted-space">
    <w:name w:val="apple-converted-space"/>
    <w:basedOn w:val="DefaultParagraphFont"/>
    <w:rsid w:val="00FB220E"/>
  </w:style>
  <w:style w:type="paragraph" w:styleId="DocumentMap">
    <w:name w:val="Document Map"/>
    <w:basedOn w:val="Normal"/>
    <w:link w:val="DocumentMapChar"/>
    <w:rsid w:val="004D47E6"/>
    <w:rPr>
      <w:rFonts w:ascii="Tahoma" w:hAnsi="Tahoma" w:cs="Tahoma"/>
      <w:sz w:val="16"/>
      <w:szCs w:val="16"/>
    </w:rPr>
  </w:style>
  <w:style w:type="character" w:customStyle="1" w:styleId="DocumentMapChar">
    <w:name w:val="Document Map Char"/>
    <w:basedOn w:val="DefaultParagraphFont"/>
    <w:link w:val="DocumentMap"/>
    <w:rsid w:val="004D47E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454148">
      <w:bodyDiv w:val="1"/>
      <w:marLeft w:val="0"/>
      <w:marRight w:val="0"/>
      <w:marTop w:val="0"/>
      <w:marBottom w:val="0"/>
      <w:divBdr>
        <w:top w:val="none" w:sz="0" w:space="0" w:color="auto"/>
        <w:left w:val="none" w:sz="0" w:space="0" w:color="auto"/>
        <w:bottom w:val="none" w:sz="0" w:space="0" w:color="auto"/>
        <w:right w:val="none" w:sz="0" w:space="0" w:color="auto"/>
      </w:divBdr>
    </w:div>
    <w:div w:id="27416931">
      <w:bodyDiv w:val="1"/>
      <w:marLeft w:val="0"/>
      <w:marRight w:val="0"/>
      <w:marTop w:val="0"/>
      <w:marBottom w:val="0"/>
      <w:divBdr>
        <w:top w:val="none" w:sz="0" w:space="0" w:color="auto"/>
        <w:left w:val="none" w:sz="0" w:space="0" w:color="auto"/>
        <w:bottom w:val="none" w:sz="0" w:space="0" w:color="auto"/>
        <w:right w:val="none" w:sz="0" w:space="0" w:color="auto"/>
      </w:divBdr>
    </w:div>
    <w:div w:id="82188878">
      <w:bodyDiv w:val="1"/>
      <w:marLeft w:val="0"/>
      <w:marRight w:val="0"/>
      <w:marTop w:val="0"/>
      <w:marBottom w:val="0"/>
      <w:divBdr>
        <w:top w:val="none" w:sz="0" w:space="0" w:color="auto"/>
        <w:left w:val="none" w:sz="0" w:space="0" w:color="auto"/>
        <w:bottom w:val="none" w:sz="0" w:space="0" w:color="auto"/>
        <w:right w:val="none" w:sz="0" w:space="0" w:color="auto"/>
      </w:divBdr>
    </w:div>
    <w:div w:id="85736401">
      <w:bodyDiv w:val="1"/>
      <w:marLeft w:val="0"/>
      <w:marRight w:val="0"/>
      <w:marTop w:val="0"/>
      <w:marBottom w:val="0"/>
      <w:divBdr>
        <w:top w:val="none" w:sz="0" w:space="0" w:color="auto"/>
        <w:left w:val="none" w:sz="0" w:space="0" w:color="auto"/>
        <w:bottom w:val="none" w:sz="0" w:space="0" w:color="auto"/>
        <w:right w:val="none" w:sz="0" w:space="0" w:color="auto"/>
      </w:divBdr>
    </w:div>
    <w:div w:id="123543779">
      <w:bodyDiv w:val="1"/>
      <w:marLeft w:val="0"/>
      <w:marRight w:val="0"/>
      <w:marTop w:val="0"/>
      <w:marBottom w:val="0"/>
      <w:divBdr>
        <w:top w:val="none" w:sz="0" w:space="0" w:color="auto"/>
        <w:left w:val="none" w:sz="0" w:space="0" w:color="auto"/>
        <w:bottom w:val="none" w:sz="0" w:space="0" w:color="auto"/>
        <w:right w:val="none" w:sz="0" w:space="0" w:color="auto"/>
      </w:divBdr>
    </w:div>
    <w:div w:id="208567896">
      <w:bodyDiv w:val="1"/>
      <w:marLeft w:val="0"/>
      <w:marRight w:val="0"/>
      <w:marTop w:val="0"/>
      <w:marBottom w:val="0"/>
      <w:divBdr>
        <w:top w:val="none" w:sz="0" w:space="0" w:color="auto"/>
        <w:left w:val="none" w:sz="0" w:space="0" w:color="auto"/>
        <w:bottom w:val="none" w:sz="0" w:space="0" w:color="auto"/>
        <w:right w:val="none" w:sz="0" w:space="0" w:color="auto"/>
      </w:divBdr>
    </w:div>
    <w:div w:id="217857886">
      <w:bodyDiv w:val="1"/>
      <w:marLeft w:val="0"/>
      <w:marRight w:val="0"/>
      <w:marTop w:val="0"/>
      <w:marBottom w:val="0"/>
      <w:divBdr>
        <w:top w:val="none" w:sz="0" w:space="0" w:color="auto"/>
        <w:left w:val="none" w:sz="0" w:space="0" w:color="auto"/>
        <w:bottom w:val="none" w:sz="0" w:space="0" w:color="auto"/>
        <w:right w:val="none" w:sz="0" w:space="0" w:color="auto"/>
      </w:divBdr>
      <w:divsChild>
        <w:div w:id="2093775457">
          <w:marLeft w:val="0"/>
          <w:marRight w:val="0"/>
          <w:marTop w:val="0"/>
          <w:marBottom w:val="0"/>
          <w:divBdr>
            <w:top w:val="none" w:sz="0" w:space="0" w:color="auto"/>
            <w:left w:val="none" w:sz="0" w:space="0" w:color="auto"/>
            <w:bottom w:val="none" w:sz="0" w:space="0" w:color="auto"/>
            <w:right w:val="none" w:sz="0" w:space="0" w:color="auto"/>
          </w:divBdr>
          <w:divsChild>
            <w:div w:id="379718508">
              <w:marLeft w:val="0"/>
              <w:marRight w:val="0"/>
              <w:marTop w:val="0"/>
              <w:marBottom w:val="0"/>
              <w:divBdr>
                <w:top w:val="none" w:sz="0" w:space="0" w:color="auto"/>
                <w:left w:val="none" w:sz="0" w:space="0" w:color="auto"/>
                <w:bottom w:val="none" w:sz="0" w:space="0" w:color="auto"/>
                <w:right w:val="none" w:sz="0" w:space="0" w:color="auto"/>
              </w:divBdr>
            </w:div>
            <w:div w:id="628511457">
              <w:marLeft w:val="0"/>
              <w:marRight w:val="0"/>
              <w:marTop w:val="0"/>
              <w:marBottom w:val="0"/>
              <w:divBdr>
                <w:top w:val="none" w:sz="0" w:space="0" w:color="auto"/>
                <w:left w:val="none" w:sz="0" w:space="0" w:color="auto"/>
                <w:bottom w:val="none" w:sz="0" w:space="0" w:color="auto"/>
                <w:right w:val="none" w:sz="0" w:space="0" w:color="auto"/>
              </w:divBdr>
            </w:div>
            <w:div w:id="1119186640">
              <w:marLeft w:val="0"/>
              <w:marRight w:val="0"/>
              <w:marTop w:val="0"/>
              <w:marBottom w:val="0"/>
              <w:divBdr>
                <w:top w:val="none" w:sz="0" w:space="0" w:color="auto"/>
                <w:left w:val="none" w:sz="0" w:space="0" w:color="auto"/>
                <w:bottom w:val="none" w:sz="0" w:space="0" w:color="auto"/>
                <w:right w:val="none" w:sz="0" w:space="0" w:color="auto"/>
              </w:divBdr>
            </w:div>
            <w:div w:id="1196381497">
              <w:marLeft w:val="0"/>
              <w:marRight w:val="0"/>
              <w:marTop w:val="0"/>
              <w:marBottom w:val="0"/>
              <w:divBdr>
                <w:top w:val="none" w:sz="0" w:space="0" w:color="auto"/>
                <w:left w:val="none" w:sz="0" w:space="0" w:color="auto"/>
                <w:bottom w:val="none" w:sz="0" w:space="0" w:color="auto"/>
                <w:right w:val="none" w:sz="0" w:space="0" w:color="auto"/>
              </w:divBdr>
            </w:div>
            <w:div w:id="126071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900914">
      <w:bodyDiv w:val="1"/>
      <w:marLeft w:val="0"/>
      <w:marRight w:val="0"/>
      <w:marTop w:val="0"/>
      <w:marBottom w:val="0"/>
      <w:divBdr>
        <w:top w:val="none" w:sz="0" w:space="0" w:color="auto"/>
        <w:left w:val="none" w:sz="0" w:space="0" w:color="auto"/>
        <w:bottom w:val="none" w:sz="0" w:space="0" w:color="auto"/>
        <w:right w:val="none" w:sz="0" w:space="0" w:color="auto"/>
      </w:divBdr>
    </w:div>
    <w:div w:id="310599314">
      <w:bodyDiv w:val="1"/>
      <w:marLeft w:val="0"/>
      <w:marRight w:val="0"/>
      <w:marTop w:val="0"/>
      <w:marBottom w:val="0"/>
      <w:divBdr>
        <w:top w:val="none" w:sz="0" w:space="0" w:color="auto"/>
        <w:left w:val="none" w:sz="0" w:space="0" w:color="auto"/>
        <w:bottom w:val="none" w:sz="0" w:space="0" w:color="auto"/>
        <w:right w:val="none" w:sz="0" w:space="0" w:color="auto"/>
      </w:divBdr>
    </w:div>
    <w:div w:id="338435777">
      <w:bodyDiv w:val="1"/>
      <w:marLeft w:val="0"/>
      <w:marRight w:val="0"/>
      <w:marTop w:val="0"/>
      <w:marBottom w:val="0"/>
      <w:divBdr>
        <w:top w:val="none" w:sz="0" w:space="0" w:color="auto"/>
        <w:left w:val="none" w:sz="0" w:space="0" w:color="auto"/>
        <w:bottom w:val="none" w:sz="0" w:space="0" w:color="auto"/>
        <w:right w:val="none" w:sz="0" w:space="0" w:color="auto"/>
      </w:divBdr>
    </w:div>
    <w:div w:id="379548860">
      <w:bodyDiv w:val="1"/>
      <w:marLeft w:val="0"/>
      <w:marRight w:val="0"/>
      <w:marTop w:val="0"/>
      <w:marBottom w:val="0"/>
      <w:divBdr>
        <w:top w:val="none" w:sz="0" w:space="0" w:color="auto"/>
        <w:left w:val="none" w:sz="0" w:space="0" w:color="auto"/>
        <w:bottom w:val="none" w:sz="0" w:space="0" w:color="auto"/>
        <w:right w:val="none" w:sz="0" w:space="0" w:color="auto"/>
      </w:divBdr>
    </w:div>
    <w:div w:id="413748436">
      <w:bodyDiv w:val="1"/>
      <w:marLeft w:val="0"/>
      <w:marRight w:val="0"/>
      <w:marTop w:val="0"/>
      <w:marBottom w:val="0"/>
      <w:divBdr>
        <w:top w:val="none" w:sz="0" w:space="0" w:color="auto"/>
        <w:left w:val="none" w:sz="0" w:space="0" w:color="auto"/>
        <w:bottom w:val="none" w:sz="0" w:space="0" w:color="auto"/>
        <w:right w:val="none" w:sz="0" w:space="0" w:color="auto"/>
      </w:divBdr>
    </w:div>
    <w:div w:id="414787156">
      <w:bodyDiv w:val="1"/>
      <w:marLeft w:val="0"/>
      <w:marRight w:val="0"/>
      <w:marTop w:val="0"/>
      <w:marBottom w:val="0"/>
      <w:divBdr>
        <w:top w:val="none" w:sz="0" w:space="0" w:color="auto"/>
        <w:left w:val="none" w:sz="0" w:space="0" w:color="auto"/>
        <w:bottom w:val="none" w:sz="0" w:space="0" w:color="auto"/>
        <w:right w:val="none" w:sz="0" w:space="0" w:color="auto"/>
      </w:divBdr>
    </w:div>
    <w:div w:id="432089109">
      <w:bodyDiv w:val="1"/>
      <w:marLeft w:val="0"/>
      <w:marRight w:val="0"/>
      <w:marTop w:val="0"/>
      <w:marBottom w:val="0"/>
      <w:divBdr>
        <w:top w:val="none" w:sz="0" w:space="0" w:color="auto"/>
        <w:left w:val="none" w:sz="0" w:space="0" w:color="auto"/>
        <w:bottom w:val="none" w:sz="0" w:space="0" w:color="auto"/>
        <w:right w:val="none" w:sz="0" w:space="0" w:color="auto"/>
      </w:divBdr>
    </w:div>
    <w:div w:id="472142152">
      <w:bodyDiv w:val="1"/>
      <w:marLeft w:val="0"/>
      <w:marRight w:val="0"/>
      <w:marTop w:val="0"/>
      <w:marBottom w:val="0"/>
      <w:divBdr>
        <w:top w:val="none" w:sz="0" w:space="0" w:color="auto"/>
        <w:left w:val="none" w:sz="0" w:space="0" w:color="auto"/>
        <w:bottom w:val="none" w:sz="0" w:space="0" w:color="auto"/>
        <w:right w:val="none" w:sz="0" w:space="0" w:color="auto"/>
      </w:divBdr>
    </w:div>
    <w:div w:id="502211597">
      <w:bodyDiv w:val="1"/>
      <w:marLeft w:val="0"/>
      <w:marRight w:val="0"/>
      <w:marTop w:val="0"/>
      <w:marBottom w:val="0"/>
      <w:divBdr>
        <w:top w:val="none" w:sz="0" w:space="0" w:color="auto"/>
        <w:left w:val="none" w:sz="0" w:space="0" w:color="auto"/>
        <w:bottom w:val="none" w:sz="0" w:space="0" w:color="auto"/>
        <w:right w:val="none" w:sz="0" w:space="0" w:color="auto"/>
      </w:divBdr>
    </w:div>
    <w:div w:id="506483429">
      <w:bodyDiv w:val="1"/>
      <w:marLeft w:val="0"/>
      <w:marRight w:val="0"/>
      <w:marTop w:val="0"/>
      <w:marBottom w:val="0"/>
      <w:divBdr>
        <w:top w:val="none" w:sz="0" w:space="0" w:color="auto"/>
        <w:left w:val="none" w:sz="0" w:space="0" w:color="auto"/>
        <w:bottom w:val="none" w:sz="0" w:space="0" w:color="auto"/>
        <w:right w:val="none" w:sz="0" w:space="0" w:color="auto"/>
      </w:divBdr>
    </w:div>
    <w:div w:id="551963112">
      <w:bodyDiv w:val="1"/>
      <w:marLeft w:val="0"/>
      <w:marRight w:val="0"/>
      <w:marTop w:val="0"/>
      <w:marBottom w:val="0"/>
      <w:divBdr>
        <w:top w:val="none" w:sz="0" w:space="0" w:color="auto"/>
        <w:left w:val="none" w:sz="0" w:space="0" w:color="auto"/>
        <w:bottom w:val="none" w:sz="0" w:space="0" w:color="auto"/>
        <w:right w:val="none" w:sz="0" w:space="0" w:color="auto"/>
      </w:divBdr>
      <w:divsChild>
        <w:div w:id="372118937">
          <w:marLeft w:val="547"/>
          <w:marRight w:val="0"/>
          <w:marTop w:val="96"/>
          <w:marBottom w:val="0"/>
          <w:divBdr>
            <w:top w:val="none" w:sz="0" w:space="0" w:color="auto"/>
            <w:left w:val="none" w:sz="0" w:space="0" w:color="auto"/>
            <w:bottom w:val="none" w:sz="0" w:space="0" w:color="auto"/>
            <w:right w:val="none" w:sz="0" w:space="0" w:color="auto"/>
          </w:divBdr>
        </w:div>
      </w:divsChild>
    </w:div>
    <w:div w:id="630018463">
      <w:bodyDiv w:val="1"/>
      <w:marLeft w:val="0"/>
      <w:marRight w:val="0"/>
      <w:marTop w:val="0"/>
      <w:marBottom w:val="0"/>
      <w:divBdr>
        <w:top w:val="none" w:sz="0" w:space="0" w:color="auto"/>
        <w:left w:val="none" w:sz="0" w:space="0" w:color="auto"/>
        <w:bottom w:val="none" w:sz="0" w:space="0" w:color="auto"/>
        <w:right w:val="none" w:sz="0" w:space="0" w:color="auto"/>
      </w:divBdr>
    </w:div>
    <w:div w:id="636954627">
      <w:bodyDiv w:val="1"/>
      <w:marLeft w:val="0"/>
      <w:marRight w:val="0"/>
      <w:marTop w:val="0"/>
      <w:marBottom w:val="0"/>
      <w:divBdr>
        <w:top w:val="none" w:sz="0" w:space="0" w:color="auto"/>
        <w:left w:val="none" w:sz="0" w:space="0" w:color="auto"/>
        <w:bottom w:val="none" w:sz="0" w:space="0" w:color="auto"/>
        <w:right w:val="none" w:sz="0" w:space="0" w:color="auto"/>
      </w:divBdr>
    </w:div>
    <w:div w:id="650986804">
      <w:bodyDiv w:val="1"/>
      <w:marLeft w:val="0"/>
      <w:marRight w:val="0"/>
      <w:marTop w:val="0"/>
      <w:marBottom w:val="0"/>
      <w:divBdr>
        <w:top w:val="none" w:sz="0" w:space="0" w:color="auto"/>
        <w:left w:val="none" w:sz="0" w:space="0" w:color="auto"/>
        <w:bottom w:val="none" w:sz="0" w:space="0" w:color="auto"/>
        <w:right w:val="none" w:sz="0" w:space="0" w:color="auto"/>
      </w:divBdr>
    </w:div>
    <w:div w:id="662121876">
      <w:bodyDiv w:val="1"/>
      <w:marLeft w:val="0"/>
      <w:marRight w:val="0"/>
      <w:marTop w:val="0"/>
      <w:marBottom w:val="0"/>
      <w:divBdr>
        <w:top w:val="none" w:sz="0" w:space="0" w:color="auto"/>
        <w:left w:val="none" w:sz="0" w:space="0" w:color="auto"/>
        <w:bottom w:val="none" w:sz="0" w:space="0" w:color="auto"/>
        <w:right w:val="none" w:sz="0" w:space="0" w:color="auto"/>
      </w:divBdr>
      <w:divsChild>
        <w:div w:id="911155437">
          <w:marLeft w:val="547"/>
          <w:marRight w:val="0"/>
          <w:marTop w:val="96"/>
          <w:marBottom w:val="0"/>
          <w:divBdr>
            <w:top w:val="none" w:sz="0" w:space="0" w:color="auto"/>
            <w:left w:val="none" w:sz="0" w:space="0" w:color="auto"/>
            <w:bottom w:val="none" w:sz="0" w:space="0" w:color="auto"/>
            <w:right w:val="none" w:sz="0" w:space="0" w:color="auto"/>
          </w:divBdr>
        </w:div>
      </w:divsChild>
    </w:div>
    <w:div w:id="675769322">
      <w:bodyDiv w:val="1"/>
      <w:marLeft w:val="0"/>
      <w:marRight w:val="0"/>
      <w:marTop w:val="0"/>
      <w:marBottom w:val="0"/>
      <w:divBdr>
        <w:top w:val="none" w:sz="0" w:space="0" w:color="auto"/>
        <w:left w:val="none" w:sz="0" w:space="0" w:color="auto"/>
        <w:bottom w:val="none" w:sz="0" w:space="0" w:color="auto"/>
        <w:right w:val="none" w:sz="0" w:space="0" w:color="auto"/>
      </w:divBdr>
    </w:div>
    <w:div w:id="733048515">
      <w:bodyDiv w:val="1"/>
      <w:marLeft w:val="0"/>
      <w:marRight w:val="0"/>
      <w:marTop w:val="0"/>
      <w:marBottom w:val="0"/>
      <w:divBdr>
        <w:top w:val="none" w:sz="0" w:space="0" w:color="auto"/>
        <w:left w:val="none" w:sz="0" w:space="0" w:color="auto"/>
        <w:bottom w:val="none" w:sz="0" w:space="0" w:color="auto"/>
        <w:right w:val="none" w:sz="0" w:space="0" w:color="auto"/>
      </w:divBdr>
    </w:div>
    <w:div w:id="805854092">
      <w:bodyDiv w:val="1"/>
      <w:marLeft w:val="0"/>
      <w:marRight w:val="0"/>
      <w:marTop w:val="0"/>
      <w:marBottom w:val="0"/>
      <w:divBdr>
        <w:top w:val="none" w:sz="0" w:space="0" w:color="auto"/>
        <w:left w:val="none" w:sz="0" w:space="0" w:color="auto"/>
        <w:bottom w:val="none" w:sz="0" w:space="0" w:color="auto"/>
        <w:right w:val="none" w:sz="0" w:space="0" w:color="auto"/>
      </w:divBdr>
    </w:div>
    <w:div w:id="835681567">
      <w:bodyDiv w:val="1"/>
      <w:marLeft w:val="0"/>
      <w:marRight w:val="0"/>
      <w:marTop w:val="0"/>
      <w:marBottom w:val="0"/>
      <w:divBdr>
        <w:top w:val="none" w:sz="0" w:space="0" w:color="auto"/>
        <w:left w:val="none" w:sz="0" w:space="0" w:color="auto"/>
        <w:bottom w:val="none" w:sz="0" w:space="0" w:color="auto"/>
        <w:right w:val="none" w:sz="0" w:space="0" w:color="auto"/>
      </w:divBdr>
    </w:div>
    <w:div w:id="844978338">
      <w:bodyDiv w:val="1"/>
      <w:marLeft w:val="0"/>
      <w:marRight w:val="0"/>
      <w:marTop w:val="0"/>
      <w:marBottom w:val="0"/>
      <w:divBdr>
        <w:top w:val="none" w:sz="0" w:space="0" w:color="auto"/>
        <w:left w:val="none" w:sz="0" w:space="0" w:color="auto"/>
        <w:bottom w:val="none" w:sz="0" w:space="0" w:color="auto"/>
        <w:right w:val="none" w:sz="0" w:space="0" w:color="auto"/>
      </w:divBdr>
    </w:div>
    <w:div w:id="859507369">
      <w:bodyDiv w:val="1"/>
      <w:marLeft w:val="0"/>
      <w:marRight w:val="0"/>
      <w:marTop w:val="0"/>
      <w:marBottom w:val="0"/>
      <w:divBdr>
        <w:top w:val="none" w:sz="0" w:space="0" w:color="auto"/>
        <w:left w:val="none" w:sz="0" w:space="0" w:color="auto"/>
        <w:bottom w:val="none" w:sz="0" w:space="0" w:color="auto"/>
        <w:right w:val="none" w:sz="0" w:space="0" w:color="auto"/>
      </w:divBdr>
    </w:div>
    <w:div w:id="935480627">
      <w:bodyDiv w:val="1"/>
      <w:marLeft w:val="0"/>
      <w:marRight w:val="0"/>
      <w:marTop w:val="0"/>
      <w:marBottom w:val="0"/>
      <w:divBdr>
        <w:top w:val="none" w:sz="0" w:space="0" w:color="auto"/>
        <w:left w:val="none" w:sz="0" w:space="0" w:color="auto"/>
        <w:bottom w:val="none" w:sz="0" w:space="0" w:color="auto"/>
        <w:right w:val="none" w:sz="0" w:space="0" w:color="auto"/>
      </w:divBdr>
    </w:div>
    <w:div w:id="1034112945">
      <w:bodyDiv w:val="1"/>
      <w:marLeft w:val="0"/>
      <w:marRight w:val="0"/>
      <w:marTop w:val="0"/>
      <w:marBottom w:val="0"/>
      <w:divBdr>
        <w:top w:val="none" w:sz="0" w:space="0" w:color="auto"/>
        <w:left w:val="none" w:sz="0" w:space="0" w:color="auto"/>
        <w:bottom w:val="none" w:sz="0" w:space="0" w:color="auto"/>
        <w:right w:val="none" w:sz="0" w:space="0" w:color="auto"/>
      </w:divBdr>
    </w:div>
    <w:div w:id="1088379544">
      <w:bodyDiv w:val="1"/>
      <w:marLeft w:val="0"/>
      <w:marRight w:val="0"/>
      <w:marTop w:val="0"/>
      <w:marBottom w:val="0"/>
      <w:divBdr>
        <w:top w:val="none" w:sz="0" w:space="0" w:color="auto"/>
        <w:left w:val="none" w:sz="0" w:space="0" w:color="auto"/>
        <w:bottom w:val="none" w:sz="0" w:space="0" w:color="auto"/>
        <w:right w:val="none" w:sz="0" w:space="0" w:color="auto"/>
      </w:divBdr>
    </w:div>
    <w:div w:id="1117136197">
      <w:bodyDiv w:val="1"/>
      <w:marLeft w:val="0"/>
      <w:marRight w:val="0"/>
      <w:marTop w:val="0"/>
      <w:marBottom w:val="0"/>
      <w:divBdr>
        <w:top w:val="none" w:sz="0" w:space="0" w:color="auto"/>
        <w:left w:val="none" w:sz="0" w:space="0" w:color="auto"/>
        <w:bottom w:val="none" w:sz="0" w:space="0" w:color="auto"/>
        <w:right w:val="none" w:sz="0" w:space="0" w:color="auto"/>
      </w:divBdr>
    </w:div>
    <w:div w:id="1121072127">
      <w:bodyDiv w:val="1"/>
      <w:marLeft w:val="0"/>
      <w:marRight w:val="0"/>
      <w:marTop w:val="0"/>
      <w:marBottom w:val="0"/>
      <w:divBdr>
        <w:top w:val="none" w:sz="0" w:space="0" w:color="auto"/>
        <w:left w:val="none" w:sz="0" w:space="0" w:color="auto"/>
        <w:bottom w:val="none" w:sz="0" w:space="0" w:color="auto"/>
        <w:right w:val="none" w:sz="0" w:space="0" w:color="auto"/>
      </w:divBdr>
    </w:div>
    <w:div w:id="1176654847">
      <w:bodyDiv w:val="1"/>
      <w:marLeft w:val="0"/>
      <w:marRight w:val="0"/>
      <w:marTop w:val="0"/>
      <w:marBottom w:val="0"/>
      <w:divBdr>
        <w:top w:val="none" w:sz="0" w:space="0" w:color="auto"/>
        <w:left w:val="none" w:sz="0" w:space="0" w:color="auto"/>
        <w:bottom w:val="none" w:sz="0" w:space="0" w:color="auto"/>
        <w:right w:val="none" w:sz="0" w:space="0" w:color="auto"/>
      </w:divBdr>
    </w:div>
    <w:div w:id="1232305657">
      <w:bodyDiv w:val="1"/>
      <w:marLeft w:val="0"/>
      <w:marRight w:val="0"/>
      <w:marTop w:val="0"/>
      <w:marBottom w:val="0"/>
      <w:divBdr>
        <w:top w:val="none" w:sz="0" w:space="0" w:color="auto"/>
        <w:left w:val="none" w:sz="0" w:space="0" w:color="auto"/>
        <w:bottom w:val="none" w:sz="0" w:space="0" w:color="auto"/>
        <w:right w:val="none" w:sz="0" w:space="0" w:color="auto"/>
      </w:divBdr>
    </w:div>
    <w:div w:id="1257323706">
      <w:bodyDiv w:val="1"/>
      <w:marLeft w:val="0"/>
      <w:marRight w:val="0"/>
      <w:marTop w:val="0"/>
      <w:marBottom w:val="0"/>
      <w:divBdr>
        <w:top w:val="none" w:sz="0" w:space="0" w:color="auto"/>
        <w:left w:val="none" w:sz="0" w:space="0" w:color="auto"/>
        <w:bottom w:val="none" w:sz="0" w:space="0" w:color="auto"/>
        <w:right w:val="none" w:sz="0" w:space="0" w:color="auto"/>
      </w:divBdr>
    </w:div>
    <w:div w:id="1266041672">
      <w:bodyDiv w:val="1"/>
      <w:marLeft w:val="0"/>
      <w:marRight w:val="0"/>
      <w:marTop w:val="0"/>
      <w:marBottom w:val="0"/>
      <w:divBdr>
        <w:top w:val="none" w:sz="0" w:space="0" w:color="auto"/>
        <w:left w:val="none" w:sz="0" w:space="0" w:color="auto"/>
        <w:bottom w:val="none" w:sz="0" w:space="0" w:color="auto"/>
        <w:right w:val="none" w:sz="0" w:space="0" w:color="auto"/>
      </w:divBdr>
    </w:div>
    <w:div w:id="1290091900">
      <w:bodyDiv w:val="1"/>
      <w:marLeft w:val="0"/>
      <w:marRight w:val="0"/>
      <w:marTop w:val="0"/>
      <w:marBottom w:val="0"/>
      <w:divBdr>
        <w:top w:val="none" w:sz="0" w:space="0" w:color="auto"/>
        <w:left w:val="none" w:sz="0" w:space="0" w:color="auto"/>
        <w:bottom w:val="none" w:sz="0" w:space="0" w:color="auto"/>
        <w:right w:val="none" w:sz="0" w:space="0" w:color="auto"/>
      </w:divBdr>
      <w:divsChild>
        <w:div w:id="1140537373">
          <w:marLeft w:val="547"/>
          <w:marRight w:val="0"/>
          <w:marTop w:val="96"/>
          <w:marBottom w:val="0"/>
          <w:divBdr>
            <w:top w:val="none" w:sz="0" w:space="0" w:color="auto"/>
            <w:left w:val="none" w:sz="0" w:space="0" w:color="auto"/>
            <w:bottom w:val="none" w:sz="0" w:space="0" w:color="auto"/>
            <w:right w:val="none" w:sz="0" w:space="0" w:color="auto"/>
          </w:divBdr>
        </w:div>
      </w:divsChild>
    </w:div>
    <w:div w:id="1326008488">
      <w:bodyDiv w:val="1"/>
      <w:marLeft w:val="0"/>
      <w:marRight w:val="0"/>
      <w:marTop w:val="0"/>
      <w:marBottom w:val="0"/>
      <w:divBdr>
        <w:top w:val="none" w:sz="0" w:space="0" w:color="auto"/>
        <w:left w:val="none" w:sz="0" w:space="0" w:color="auto"/>
        <w:bottom w:val="none" w:sz="0" w:space="0" w:color="auto"/>
        <w:right w:val="none" w:sz="0" w:space="0" w:color="auto"/>
      </w:divBdr>
      <w:divsChild>
        <w:div w:id="732972472">
          <w:marLeft w:val="547"/>
          <w:marRight w:val="0"/>
          <w:marTop w:val="96"/>
          <w:marBottom w:val="0"/>
          <w:divBdr>
            <w:top w:val="none" w:sz="0" w:space="0" w:color="auto"/>
            <w:left w:val="none" w:sz="0" w:space="0" w:color="auto"/>
            <w:bottom w:val="none" w:sz="0" w:space="0" w:color="auto"/>
            <w:right w:val="none" w:sz="0" w:space="0" w:color="auto"/>
          </w:divBdr>
        </w:div>
      </w:divsChild>
    </w:div>
    <w:div w:id="1344431002">
      <w:bodyDiv w:val="1"/>
      <w:marLeft w:val="0"/>
      <w:marRight w:val="0"/>
      <w:marTop w:val="0"/>
      <w:marBottom w:val="0"/>
      <w:divBdr>
        <w:top w:val="none" w:sz="0" w:space="0" w:color="auto"/>
        <w:left w:val="none" w:sz="0" w:space="0" w:color="auto"/>
        <w:bottom w:val="none" w:sz="0" w:space="0" w:color="auto"/>
        <w:right w:val="none" w:sz="0" w:space="0" w:color="auto"/>
      </w:divBdr>
    </w:div>
    <w:div w:id="1400591473">
      <w:bodyDiv w:val="1"/>
      <w:marLeft w:val="0"/>
      <w:marRight w:val="0"/>
      <w:marTop w:val="0"/>
      <w:marBottom w:val="0"/>
      <w:divBdr>
        <w:top w:val="none" w:sz="0" w:space="0" w:color="auto"/>
        <w:left w:val="none" w:sz="0" w:space="0" w:color="auto"/>
        <w:bottom w:val="none" w:sz="0" w:space="0" w:color="auto"/>
        <w:right w:val="none" w:sz="0" w:space="0" w:color="auto"/>
      </w:divBdr>
    </w:div>
    <w:div w:id="1431926934">
      <w:bodyDiv w:val="1"/>
      <w:marLeft w:val="0"/>
      <w:marRight w:val="0"/>
      <w:marTop w:val="0"/>
      <w:marBottom w:val="0"/>
      <w:divBdr>
        <w:top w:val="none" w:sz="0" w:space="0" w:color="auto"/>
        <w:left w:val="none" w:sz="0" w:space="0" w:color="auto"/>
        <w:bottom w:val="none" w:sz="0" w:space="0" w:color="auto"/>
        <w:right w:val="none" w:sz="0" w:space="0" w:color="auto"/>
      </w:divBdr>
    </w:div>
    <w:div w:id="1446386833">
      <w:bodyDiv w:val="1"/>
      <w:marLeft w:val="0"/>
      <w:marRight w:val="0"/>
      <w:marTop w:val="0"/>
      <w:marBottom w:val="0"/>
      <w:divBdr>
        <w:top w:val="none" w:sz="0" w:space="0" w:color="auto"/>
        <w:left w:val="none" w:sz="0" w:space="0" w:color="auto"/>
        <w:bottom w:val="none" w:sz="0" w:space="0" w:color="auto"/>
        <w:right w:val="none" w:sz="0" w:space="0" w:color="auto"/>
      </w:divBdr>
      <w:divsChild>
        <w:div w:id="442967612">
          <w:marLeft w:val="547"/>
          <w:marRight w:val="0"/>
          <w:marTop w:val="96"/>
          <w:marBottom w:val="0"/>
          <w:divBdr>
            <w:top w:val="none" w:sz="0" w:space="0" w:color="auto"/>
            <w:left w:val="none" w:sz="0" w:space="0" w:color="auto"/>
            <w:bottom w:val="none" w:sz="0" w:space="0" w:color="auto"/>
            <w:right w:val="none" w:sz="0" w:space="0" w:color="auto"/>
          </w:divBdr>
        </w:div>
      </w:divsChild>
    </w:div>
    <w:div w:id="1539050888">
      <w:bodyDiv w:val="1"/>
      <w:marLeft w:val="0"/>
      <w:marRight w:val="0"/>
      <w:marTop w:val="0"/>
      <w:marBottom w:val="0"/>
      <w:divBdr>
        <w:top w:val="none" w:sz="0" w:space="0" w:color="auto"/>
        <w:left w:val="none" w:sz="0" w:space="0" w:color="auto"/>
        <w:bottom w:val="none" w:sz="0" w:space="0" w:color="auto"/>
        <w:right w:val="none" w:sz="0" w:space="0" w:color="auto"/>
      </w:divBdr>
    </w:div>
    <w:div w:id="1567377636">
      <w:bodyDiv w:val="1"/>
      <w:marLeft w:val="0"/>
      <w:marRight w:val="0"/>
      <w:marTop w:val="0"/>
      <w:marBottom w:val="0"/>
      <w:divBdr>
        <w:top w:val="none" w:sz="0" w:space="0" w:color="auto"/>
        <w:left w:val="none" w:sz="0" w:space="0" w:color="auto"/>
        <w:bottom w:val="none" w:sz="0" w:space="0" w:color="auto"/>
        <w:right w:val="none" w:sz="0" w:space="0" w:color="auto"/>
      </w:divBdr>
    </w:div>
    <w:div w:id="1587030128">
      <w:bodyDiv w:val="1"/>
      <w:marLeft w:val="0"/>
      <w:marRight w:val="0"/>
      <w:marTop w:val="0"/>
      <w:marBottom w:val="0"/>
      <w:divBdr>
        <w:top w:val="none" w:sz="0" w:space="0" w:color="auto"/>
        <w:left w:val="none" w:sz="0" w:space="0" w:color="auto"/>
        <w:bottom w:val="none" w:sz="0" w:space="0" w:color="auto"/>
        <w:right w:val="none" w:sz="0" w:space="0" w:color="auto"/>
      </w:divBdr>
    </w:div>
    <w:div w:id="1640761291">
      <w:bodyDiv w:val="1"/>
      <w:marLeft w:val="0"/>
      <w:marRight w:val="0"/>
      <w:marTop w:val="0"/>
      <w:marBottom w:val="0"/>
      <w:divBdr>
        <w:top w:val="none" w:sz="0" w:space="0" w:color="auto"/>
        <w:left w:val="none" w:sz="0" w:space="0" w:color="auto"/>
        <w:bottom w:val="none" w:sz="0" w:space="0" w:color="auto"/>
        <w:right w:val="none" w:sz="0" w:space="0" w:color="auto"/>
      </w:divBdr>
    </w:div>
    <w:div w:id="1643122329">
      <w:bodyDiv w:val="1"/>
      <w:marLeft w:val="0"/>
      <w:marRight w:val="0"/>
      <w:marTop w:val="0"/>
      <w:marBottom w:val="0"/>
      <w:divBdr>
        <w:top w:val="none" w:sz="0" w:space="0" w:color="auto"/>
        <w:left w:val="none" w:sz="0" w:space="0" w:color="auto"/>
        <w:bottom w:val="none" w:sz="0" w:space="0" w:color="auto"/>
        <w:right w:val="none" w:sz="0" w:space="0" w:color="auto"/>
      </w:divBdr>
    </w:div>
    <w:div w:id="1713577138">
      <w:bodyDiv w:val="1"/>
      <w:marLeft w:val="0"/>
      <w:marRight w:val="0"/>
      <w:marTop w:val="0"/>
      <w:marBottom w:val="0"/>
      <w:divBdr>
        <w:top w:val="none" w:sz="0" w:space="0" w:color="auto"/>
        <w:left w:val="none" w:sz="0" w:space="0" w:color="auto"/>
        <w:bottom w:val="none" w:sz="0" w:space="0" w:color="auto"/>
        <w:right w:val="none" w:sz="0" w:space="0" w:color="auto"/>
      </w:divBdr>
    </w:div>
    <w:div w:id="1718092377">
      <w:bodyDiv w:val="1"/>
      <w:marLeft w:val="0"/>
      <w:marRight w:val="0"/>
      <w:marTop w:val="0"/>
      <w:marBottom w:val="0"/>
      <w:divBdr>
        <w:top w:val="none" w:sz="0" w:space="0" w:color="auto"/>
        <w:left w:val="none" w:sz="0" w:space="0" w:color="auto"/>
        <w:bottom w:val="none" w:sz="0" w:space="0" w:color="auto"/>
        <w:right w:val="none" w:sz="0" w:space="0" w:color="auto"/>
      </w:divBdr>
    </w:div>
    <w:div w:id="1746685375">
      <w:bodyDiv w:val="1"/>
      <w:marLeft w:val="0"/>
      <w:marRight w:val="0"/>
      <w:marTop w:val="0"/>
      <w:marBottom w:val="0"/>
      <w:divBdr>
        <w:top w:val="none" w:sz="0" w:space="0" w:color="auto"/>
        <w:left w:val="none" w:sz="0" w:space="0" w:color="auto"/>
        <w:bottom w:val="none" w:sz="0" w:space="0" w:color="auto"/>
        <w:right w:val="none" w:sz="0" w:space="0" w:color="auto"/>
      </w:divBdr>
    </w:div>
    <w:div w:id="1761832433">
      <w:bodyDiv w:val="1"/>
      <w:marLeft w:val="0"/>
      <w:marRight w:val="0"/>
      <w:marTop w:val="0"/>
      <w:marBottom w:val="0"/>
      <w:divBdr>
        <w:top w:val="none" w:sz="0" w:space="0" w:color="auto"/>
        <w:left w:val="none" w:sz="0" w:space="0" w:color="auto"/>
        <w:bottom w:val="none" w:sz="0" w:space="0" w:color="auto"/>
        <w:right w:val="none" w:sz="0" w:space="0" w:color="auto"/>
      </w:divBdr>
    </w:div>
    <w:div w:id="1781678423">
      <w:bodyDiv w:val="1"/>
      <w:marLeft w:val="0"/>
      <w:marRight w:val="0"/>
      <w:marTop w:val="0"/>
      <w:marBottom w:val="0"/>
      <w:divBdr>
        <w:top w:val="none" w:sz="0" w:space="0" w:color="auto"/>
        <w:left w:val="none" w:sz="0" w:space="0" w:color="auto"/>
        <w:bottom w:val="none" w:sz="0" w:space="0" w:color="auto"/>
        <w:right w:val="none" w:sz="0" w:space="0" w:color="auto"/>
      </w:divBdr>
    </w:div>
    <w:div w:id="1796093075">
      <w:bodyDiv w:val="1"/>
      <w:marLeft w:val="0"/>
      <w:marRight w:val="0"/>
      <w:marTop w:val="0"/>
      <w:marBottom w:val="0"/>
      <w:divBdr>
        <w:top w:val="none" w:sz="0" w:space="0" w:color="auto"/>
        <w:left w:val="none" w:sz="0" w:space="0" w:color="auto"/>
        <w:bottom w:val="none" w:sz="0" w:space="0" w:color="auto"/>
        <w:right w:val="none" w:sz="0" w:space="0" w:color="auto"/>
      </w:divBdr>
    </w:div>
    <w:div w:id="1818644490">
      <w:bodyDiv w:val="1"/>
      <w:marLeft w:val="0"/>
      <w:marRight w:val="0"/>
      <w:marTop w:val="0"/>
      <w:marBottom w:val="0"/>
      <w:divBdr>
        <w:top w:val="none" w:sz="0" w:space="0" w:color="auto"/>
        <w:left w:val="none" w:sz="0" w:space="0" w:color="auto"/>
        <w:bottom w:val="none" w:sz="0" w:space="0" w:color="auto"/>
        <w:right w:val="none" w:sz="0" w:space="0" w:color="auto"/>
      </w:divBdr>
    </w:div>
    <w:div w:id="1842351864">
      <w:bodyDiv w:val="1"/>
      <w:marLeft w:val="0"/>
      <w:marRight w:val="0"/>
      <w:marTop w:val="0"/>
      <w:marBottom w:val="0"/>
      <w:divBdr>
        <w:top w:val="none" w:sz="0" w:space="0" w:color="auto"/>
        <w:left w:val="none" w:sz="0" w:space="0" w:color="auto"/>
        <w:bottom w:val="none" w:sz="0" w:space="0" w:color="auto"/>
        <w:right w:val="none" w:sz="0" w:space="0" w:color="auto"/>
      </w:divBdr>
    </w:div>
    <w:div w:id="1844279756">
      <w:bodyDiv w:val="1"/>
      <w:marLeft w:val="0"/>
      <w:marRight w:val="0"/>
      <w:marTop w:val="0"/>
      <w:marBottom w:val="0"/>
      <w:divBdr>
        <w:top w:val="none" w:sz="0" w:space="0" w:color="auto"/>
        <w:left w:val="none" w:sz="0" w:space="0" w:color="auto"/>
        <w:bottom w:val="none" w:sz="0" w:space="0" w:color="auto"/>
        <w:right w:val="none" w:sz="0" w:space="0" w:color="auto"/>
      </w:divBdr>
    </w:div>
    <w:div w:id="1890845811">
      <w:bodyDiv w:val="1"/>
      <w:marLeft w:val="0"/>
      <w:marRight w:val="0"/>
      <w:marTop w:val="0"/>
      <w:marBottom w:val="0"/>
      <w:divBdr>
        <w:top w:val="none" w:sz="0" w:space="0" w:color="auto"/>
        <w:left w:val="none" w:sz="0" w:space="0" w:color="auto"/>
        <w:bottom w:val="none" w:sz="0" w:space="0" w:color="auto"/>
        <w:right w:val="none" w:sz="0" w:space="0" w:color="auto"/>
      </w:divBdr>
    </w:div>
    <w:div w:id="1893687115">
      <w:bodyDiv w:val="1"/>
      <w:marLeft w:val="0"/>
      <w:marRight w:val="0"/>
      <w:marTop w:val="0"/>
      <w:marBottom w:val="0"/>
      <w:divBdr>
        <w:top w:val="none" w:sz="0" w:space="0" w:color="auto"/>
        <w:left w:val="none" w:sz="0" w:space="0" w:color="auto"/>
        <w:bottom w:val="none" w:sz="0" w:space="0" w:color="auto"/>
        <w:right w:val="none" w:sz="0" w:space="0" w:color="auto"/>
      </w:divBdr>
    </w:div>
    <w:div w:id="1943564008">
      <w:bodyDiv w:val="1"/>
      <w:marLeft w:val="0"/>
      <w:marRight w:val="0"/>
      <w:marTop w:val="0"/>
      <w:marBottom w:val="0"/>
      <w:divBdr>
        <w:top w:val="none" w:sz="0" w:space="0" w:color="auto"/>
        <w:left w:val="none" w:sz="0" w:space="0" w:color="auto"/>
        <w:bottom w:val="none" w:sz="0" w:space="0" w:color="auto"/>
        <w:right w:val="none" w:sz="0" w:space="0" w:color="auto"/>
      </w:divBdr>
    </w:div>
    <w:div w:id="2051684094">
      <w:bodyDiv w:val="1"/>
      <w:marLeft w:val="0"/>
      <w:marRight w:val="0"/>
      <w:marTop w:val="0"/>
      <w:marBottom w:val="0"/>
      <w:divBdr>
        <w:top w:val="none" w:sz="0" w:space="0" w:color="auto"/>
        <w:left w:val="none" w:sz="0" w:space="0" w:color="auto"/>
        <w:bottom w:val="none" w:sz="0" w:space="0" w:color="auto"/>
        <w:right w:val="none" w:sz="0" w:space="0" w:color="auto"/>
      </w:divBdr>
    </w:div>
    <w:div w:id="2067288992">
      <w:bodyDiv w:val="1"/>
      <w:marLeft w:val="0"/>
      <w:marRight w:val="0"/>
      <w:marTop w:val="0"/>
      <w:marBottom w:val="0"/>
      <w:divBdr>
        <w:top w:val="none" w:sz="0" w:space="0" w:color="auto"/>
        <w:left w:val="none" w:sz="0" w:space="0" w:color="auto"/>
        <w:bottom w:val="none" w:sz="0" w:space="0" w:color="auto"/>
        <w:right w:val="none" w:sz="0" w:space="0" w:color="auto"/>
      </w:divBdr>
    </w:div>
    <w:div w:id="2073231436">
      <w:bodyDiv w:val="1"/>
      <w:marLeft w:val="0"/>
      <w:marRight w:val="0"/>
      <w:marTop w:val="0"/>
      <w:marBottom w:val="0"/>
      <w:divBdr>
        <w:top w:val="none" w:sz="0" w:space="0" w:color="auto"/>
        <w:left w:val="none" w:sz="0" w:space="0" w:color="auto"/>
        <w:bottom w:val="none" w:sz="0" w:space="0" w:color="auto"/>
        <w:right w:val="none" w:sz="0" w:space="0" w:color="auto"/>
      </w:divBdr>
    </w:div>
    <w:div w:id="2098286723">
      <w:bodyDiv w:val="1"/>
      <w:marLeft w:val="0"/>
      <w:marRight w:val="0"/>
      <w:marTop w:val="0"/>
      <w:marBottom w:val="0"/>
      <w:divBdr>
        <w:top w:val="none" w:sz="0" w:space="0" w:color="auto"/>
        <w:left w:val="none" w:sz="0" w:space="0" w:color="auto"/>
        <w:bottom w:val="none" w:sz="0" w:space="0" w:color="auto"/>
        <w:right w:val="none" w:sz="0" w:space="0" w:color="auto"/>
      </w:divBdr>
      <w:divsChild>
        <w:div w:id="1995794456">
          <w:marLeft w:val="547"/>
          <w:marRight w:val="0"/>
          <w:marTop w:val="96"/>
          <w:marBottom w:val="0"/>
          <w:divBdr>
            <w:top w:val="none" w:sz="0" w:space="0" w:color="auto"/>
            <w:left w:val="none" w:sz="0" w:space="0" w:color="auto"/>
            <w:bottom w:val="none" w:sz="0" w:space="0" w:color="auto"/>
            <w:right w:val="none" w:sz="0" w:space="0" w:color="auto"/>
          </w:divBdr>
        </w:div>
      </w:divsChild>
    </w:div>
    <w:div w:id="2101363563">
      <w:bodyDiv w:val="1"/>
      <w:marLeft w:val="0"/>
      <w:marRight w:val="0"/>
      <w:marTop w:val="0"/>
      <w:marBottom w:val="0"/>
      <w:divBdr>
        <w:top w:val="none" w:sz="0" w:space="0" w:color="auto"/>
        <w:left w:val="none" w:sz="0" w:space="0" w:color="auto"/>
        <w:bottom w:val="none" w:sz="0" w:space="0" w:color="auto"/>
        <w:right w:val="none" w:sz="0" w:space="0" w:color="auto"/>
      </w:divBdr>
    </w:div>
    <w:div w:id="2104567506">
      <w:bodyDiv w:val="1"/>
      <w:marLeft w:val="0"/>
      <w:marRight w:val="0"/>
      <w:marTop w:val="0"/>
      <w:marBottom w:val="0"/>
      <w:divBdr>
        <w:top w:val="none" w:sz="0" w:space="0" w:color="auto"/>
        <w:left w:val="none" w:sz="0" w:space="0" w:color="auto"/>
        <w:bottom w:val="none" w:sz="0" w:space="0" w:color="auto"/>
        <w:right w:val="none" w:sz="0" w:space="0" w:color="auto"/>
      </w:divBdr>
    </w:div>
    <w:div w:id="2121291336">
      <w:bodyDiv w:val="1"/>
      <w:marLeft w:val="0"/>
      <w:marRight w:val="0"/>
      <w:marTop w:val="0"/>
      <w:marBottom w:val="0"/>
      <w:divBdr>
        <w:top w:val="none" w:sz="0" w:space="0" w:color="auto"/>
        <w:left w:val="none" w:sz="0" w:space="0" w:color="auto"/>
        <w:bottom w:val="none" w:sz="0" w:space="0" w:color="auto"/>
        <w:right w:val="none" w:sz="0" w:space="0" w:color="auto"/>
      </w:divBdr>
    </w:div>
    <w:div w:id="2137016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156B3-06BA-4B05-953F-F7503D36F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91</Pages>
  <Words>29444</Words>
  <Characters>167837</Characters>
  <Application>Microsoft Office Word</Application>
  <DocSecurity>0</DocSecurity>
  <Lines>1398</Lines>
  <Paragraphs>393</Paragraphs>
  <ScaleCrop>false</ScaleCrop>
  <HeadingPairs>
    <vt:vector size="2" baseType="variant">
      <vt:variant>
        <vt:lpstr>Title</vt:lpstr>
      </vt:variant>
      <vt:variant>
        <vt:i4>1</vt:i4>
      </vt:variant>
    </vt:vector>
  </HeadingPairs>
  <TitlesOfParts>
    <vt:vector size="1" baseType="lpstr">
      <vt:lpstr>1</vt:lpstr>
    </vt:vector>
  </TitlesOfParts>
  <Company/>
  <LinksUpToDate>false</LinksUpToDate>
  <CharactersWithSpaces>196888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Niladri</dc:creator>
  <cp:lastModifiedBy>Mis</cp:lastModifiedBy>
  <cp:revision>4</cp:revision>
  <cp:lastPrinted>2014-11-29T03:11:00Z</cp:lastPrinted>
  <dcterms:created xsi:type="dcterms:W3CDTF">2014-11-29T02:56:00Z</dcterms:created>
  <dcterms:modified xsi:type="dcterms:W3CDTF">2014-11-29T04:29:00Z</dcterms:modified>
</cp:coreProperties>
</file>